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方正小标宋简体" w:cs="方正小标宋简体" w:eastAsia="方正小标宋简体" w:hAnsi="方正小标宋简体" w:hint="eastAsia"/>
          <w:b/>
          <w:bCs/>
          <w:sz w:val="44"/>
          <w:szCs w:val="44"/>
          <w:lang w:eastAsia="zh-CN"/>
        </w:rPr>
      </w:pPr>
      <w:r>
        <w:rPr>
          <w:rFonts w:ascii="方正小标宋简体" w:cs="方正小标宋简体" w:eastAsia="方正小标宋简体" w:hAnsi="方正小标宋简体" w:hint="eastAsia"/>
          <w:sz w:val="44"/>
          <w:szCs w:val="44"/>
        </w:rPr>
        <w:t>兴安盟林下中药材产业发展指</w:t>
      </w:r>
      <w:r>
        <w:rPr>
          <w:rFonts w:ascii="方正小标宋简体" w:cs="方正小标宋简体" w:eastAsia="方正小标宋简体" w:hAnsi="方正小标宋简体" w:hint="eastAsia"/>
          <w:sz w:val="44"/>
          <w:szCs w:val="44"/>
          <w:lang w:eastAsia="zh-CN"/>
        </w:rPr>
        <w:t>南（</w:t>
      </w:r>
      <w:r>
        <w:rPr>
          <w:rFonts w:ascii="方正小标宋简体" w:cs="方正小标宋简体" w:eastAsia="方正小标宋简体" w:hAnsi="方正小标宋简体" w:hint="eastAsia"/>
          <w:sz w:val="44"/>
          <w:szCs w:val="44"/>
          <w:lang w:val="en-US" w:eastAsia="zh-CN"/>
        </w:rPr>
        <w:t>试行</w:t>
      </w:r>
      <w:r>
        <w:rPr>
          <w:rFonts w:ascii="方正小标宋简体" w:cs="方正小标宋简体" w:eastAsia="方正小标宋简体" w:hAnsi="方正小标宋简体" w:hint="eastAsia"/>
          <w:sz w:val="44"/>
          <w:szCs w:val="44"/>
          <w:lang w:eastAsia="zh-CN"/>
        </w:rPr>
        <w:t>）</w:t>
      </w:r>
    </w:p>
    <w:p>
      <w:pPr>
        <w:pStyle w:val="style0"/>
        <w:ind w:firstLine="640" w:firstLineChars="200"/>
        <w:rPr>
          <w:rFonts w:ascii="仿宋_GB2312" w:cs="仿宋_GB2312" w:eastAsia="仿宋_GB2312" w:hAnsi="仿宋_GB2312"/>
          <w:sz w:val="32"/>
          <w:szCs w:val="32"/>
          <w:lang w:val="en-US" w:bidi="ar-SA" w:eastAsia="zh-CN"/>
        </w:rPr>
      </w:pP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为规范利用林业用地种植中药材活动，保护和合理利用森林资源，促进林药持续健康发展，根据《中华人民共和国森林法》《中华人民共和国森林法实施条例》《内蒙古自治区森林管理条例》</w:t>
      </w:r>
      <w:r>
        <w:rPr>
          <w:rFonts w:ascii="仿宋_GB2312" w:cs="仿宋_GB2312" w:eastAsia="仿宋_GB2312" w:hAnsi="仿宋_GB2312" w:hint="eastAsia"/>
          <w:sz w:val="32"/>
          <w:szCs w:val="32"/>
          <w:lang w:eastAsia="zh-CN"/>
        </w:rPr>
        <w:t>《全国林下经济发展指南（</w:t>
      </w:r>
      <w:r>
        <w:rPr>
          <w:rFonts w:ascii="仿宋_GB2312" w:cs="仿宋_GB2312" w:eastAsia="仿宋_GB2312" w:hAnsi="仿宋_GB2312" w:hint="eastAsia"/>
          <w:sz w:val="32"/>
          <w:szCs w:val="32"/>
          <w:lang w:val="en-US" w:eastAsia="zh-CN"/>
        </w:rPr>
        <w:t>2021—2030年</w:t>
      </w:r>
      <w:r>
        <w:rPr>
          <w:rFonts w:ascii="仿宋_GB2312" w:cs="仿宋_GB2312" w:eastAsia="仿宋_GB2312" w:hAnsi="仿宋_GB2312" w:hint="eastAsia"/>
          <w:sz w:val="32"/>
          <w:szCs w:val="32"/>
          <w:lang w:eastAsia="zh-CN"/>
        </w:rPr>
        <w:t>）》</w:t>
      </w:r>
      <w:r>
        <w:rPr>
          <w:rFonts w:ascii="仿宋_GB2312" w:cs="仿宋_GB2312" w:eastAsia="仿宋_GB2312" w:hAnsi="仿宋_GB2312" w:hint="eastAsia"/>
          <w:sz w:val="32"/>
          <w:szCs w:val="32"/>
        </w:rPr>
        <w:t>等有关法律、法规</w:t>
      </w:r>
      <w:r>
        <w:rPr>
          <w:rFonts w:ascii="仿宋_GB2312" w:cs="仿宋_GB2312" w:eastAsia="仿宋_GB2312" w:hAnsi="仿宋_GB2312" w:hint="eastAsia"/>
          <w:sz w:val="32"/>
          <w:szCs w:val="32"/>
          <w:lang w:eastAsia="zh-CN"/>
        </w:rPr>
        <w:t>和相关文件</w:t>
      </w:r>
      <w:r>
        <w:rPr>
          <w:rFonts w:ascii="仿宋_GB2312" w:cs="仿宋_GB2312" w:eastAsia="仿宋_GB2312" w:hAnsi="仿宋_GB2312" w:hint="eastAsia"/>
          <w:sz w:val="32"/>
          <w:szCs w:val="32"/>
        </w:rPr>
        <w:t>规定，结合我盟实际</w:t>
      </w:r>
      <w:r>
        <w:rPr>
          <w:rFonts w:ascii="仿宋_GB2312" w:cs="仿宋_GB2312" w:eastAsia="仿宋_GB2312" w:hAnsi="仿宋_GB2312" w:hint="eastAsia"/>
          <w:sz w:val="32"/>
          <w:szCs w:val="32"/>
          <w:lang w:eastAsia="zh-CN"/>
        </w:rPr>
        <w:t>编制</w:t>
      </w:r>
      <w:r>
        <w:rPr>
          <w:rFonts w:ascii="仿宋_GB2312" w:cs="仿宋_GB2312" w:eastAsia="仿宋_GB2312" w:hAnsi="仿宋_GB2312" w:hint="eastAsia"/>
          <w:sz w:val="32"/>
          <w:szCs w:val="32"/>
          <w:lang w:val="en-US" w:eastAsia="zh-CN"/>
        </w:rPr>
        <w:t>本指南</w:t>
      </w:r>
      <w:r>
        <w:rPr>
          <w:rFonts w:ascii="仿宋_GB2312" w:cs="仿宋_GB2312" w:eastAsia="仿宋_GB2312" w:hAnsi="仿宋_GB2312" w:hint="eastAsia"/>
          <w:sz w:val="32"/>
          <w:szCs w:val="32"/>
        </w:rPr>
        <w:t>。</w:t>
      </w:r>
    </w:p>
    <w:p>
      <w:pPr>
        <w:pStyle w:val="style77"/>
        <w:spacing w:after="0" w:lineRule="exact" w:line="600"/>
        <w:ind w:firstLine="640" w:firstLineChars="200"/>
        <w:rPr>
          <w:rFonts w:ascii="黑体" w:cs="黑体" w:eastAsia="黑体" w:hAnsi="黑体"/>
          <w:sz w:val="32"/>
          <w:szCs w:val="32"/>
        </w:rPr>
      </w:pPr>
      <w:r>
        <w:rPr>
          <w:rFonts w:ascii="黑体" w:cs="黑体" w:eastAsia="黑体" w:hAnsi="黑体" w:hint="eastAsia"/>
          <w:sz w:val="32"/>
          <w:szCs w:val="32"/>
        </w:rPr>
        <w:t>一、基本原则</w:t>
      </w:r>
    </w:p>
    <w:p>
      <w:pPr>
        <w:pStyle w:val="style77"/>
        <w:spacing w:after="0" w:lineRule="exact" w:line="60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坚持生态优先、保护优先，以林为主、以药为辅，合理利用森林资源，促进林、药共同发展的原则。优先实施人为干扰较少的培育模式，选择适宜的药材种类，采用合理的培育模式，科学规划产业布局，形成生产规范、产品质优、规模适度的林下中药材产业体系。</w:t>
      </w:r>
    </w:p>
    <w:p>
      <w:pPr>
        <w:pStyle w:val="style77"/>
        <w:spacing w:after="0" w:lineRule="exact" w:line="600"/>
        <w:ind w:firstLine="640" w:firstLineChars="200"/>
        <w:rPr>
          <w:rFonts w:ascii="黑体" w:cs="黑体" w:eastAsia="黑体" w:hAnsi="黑体"/>
          <w:sz w:val="32"/>
          <w:szCs w:val="32"/>
        </w:rPr>
      </w:pPr>
      <w:r>
        <w:rPr>
          <w:rFonts w:ascii="黑体" w:cs="黑体" w:eastAsia="黑体" w:hAnsi="黑体" w:hint="eastAsia"/>
          <w:sz w:val="32"/>
          <w:szCs w:val="32"/>
        </w:rPr>
        <w:t>二、利用范围</w:t>
      </w:r>
    </w:p>
    <w:p>
      <w:pPr>
        <w:pStyle w:val="style77"/>
        <w:spacing w:after="0" w:lineRule="exact" w:line="60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按照</w:t>
      </w:r>
      <w:r>
        <w:rPr>
          <w:rFonts w:ascii="仿宋_GB2312" w:cs="仿宋_GB2312" w:eastAsia="仿宋_GB2312" w:hAnsi="仿宋_GB2312" w:hint="eastAsia"/>
          <w:sz w:val="32"/>
          <w:szCs w:val="32"/>
          <w:lang w:eastAsia="zh-CN"/>
        </w:rPr>
        <w:t>国务院</w:t>
      </w:r>
      <w:r>
        <w:rPr>
          <w:rFonts w:ascii="仿宋_GB2312" w:cs="仿宋_GB2312" w:eastAsia="仿宋_GB2312" w:hAnsi="仿宋_GB2312" w:hint="eastAsia"/>
          <w:sz w:val="32"/>
          <w:szCs w:val="32"/>
        </w:rPr>
        <w:t>关于发展林下经济的指导意见</w:t>
      </w:r>
      <w:r>
        <w:rPr>
          <w:rFonts w:ascii="仿宋_GB2312" w:cs="仿宋_GB2312" w:eastAsia="仿宋_GB2312" w:hAnsi="仿宋_GB2312" w:hint="eastAsia"/>
          <w:sz w:val="32"/>
          <w:szCs w:val="32"/>
          <w:lang w:eastAsia="zh-CN"/>
        </w:rPr>
        <w:t>和《全国林下经济发展指南（</w:t>
      </w:r>
      <w:r>
        <w:rPr>
          <w:rFonts w:ascii="仿宋_GB2312" w:cs="仿宋_GB2312" w:eastAsia="仿宋_GB2312" w:hAnsi="仿宋_GB2312" w:hint="eastAsia"/>
          <w:sz w:val="32"/>
          <w:szCs w:val="32"/>
          <w:lang w:val="en-US" w:eastAsia="zh-CN"/>
        </w:rPr>
        <w:t>2021—2030年</w:t>
      </w:r>
      <w:r>
        <w:rPr>
          <w:rFonts w:ascii="仿宋_GB2312" w:cs="仿宋_GB2312" w:eastAsia="仿宋_GB2312" w:hAnsi="仿宋_GB2312" w:hint="eastAsia"/>
          <w:sz w:val="32"/>
          <w:szCs w:val="32"/>
          <w:lang w:eastAsia="zh-CN"/>
        </w:rPr>
        <w:t>）》相关要求</w:t>
      </w:r>
      <w:r>
        <w:rPr>
          <w:rFonts w:ascii="仿宋_GB2312" w:cs="仿宋_GB2312" w:eastAsia="仿宋_GB2312" w:hAnsi="仿宋_GB2312" w:hint="eastAsia"/>
          <w:sz w:val="32"/>
          <w:szCs w:val="32"/>
        </w:rPr>
        <w:t>，我盟发展林下中草药应优先利用商品林和国有林场开展林下经济活动，据统计全盟总面积329.86万亩，其中，符合已有森林经营方案的国有林场面积16.05万亩（详见附表2）、商品林和公益林（国家一级公益林外）面积313.81万亩（详见附表3）。</w:t>
      </w:r>
    </w:p>
    <w:p>
      <w:pPr>
        <w:pStyle w:val="style77"/>
        <w:spacing w:after="0" w:lineRule="exact" w:line="600"/>
        <w:ind w:firstLine="640" w:firstLineChars="200"/>
        <w:rPr>
          <w:rFonts w:ascii="黑体" w:cs="黑体" w:eastAsia="黑体" w:hAnsi="黑体"/>
          <w:sz w:val="32"/>
          <w:szCs w:val="32"/>
        </w:rPr>
      </w:pPr>
      <w:r>
        <w:rPr>
          <w:rFonts w:ascii="黑体" w:cs="黑体" w:eastAsia="黑体" w:hAnsi="黑体" w:hint="eastAsia"/>
          <w:sz w:val="32"/>
          <w:szCs w:val="32"/>
        </w:rPr>
        <w:t>三、发展布局</w:t>
      </w:r>
    </w:p>
    <w:p>
      <w:pPr>
        <w:pStyle w:val="style77"/>
        <w:spacing w:after="0" w:lineRule="exact" w:line="60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根据我盟大兴安岭向草原过渡地带地形分布和我盟林草生态建设划分的北部大兴安岭生态屏障区、中部浅山丘陵生态修复区、南部科尔沁沙地锁边区和各级各类自然保护地“三区一地”保护格局，将我盟林下中药材种植划分三个区域。</w:t>
      </w:r>
    </w:p>
    <w:p>
      <w:pPr>
        <w:pStyle w:val="style0"/>
        <w:spacing w:lineRule="exact" w:line="600"/>
        <w:ind w:firstLine="640" w:firstLineChars="200"/>
        <w:rPr>
          <w:rFonts w:ascii="楷体" w:cs="楷体" w:eastAsia="楷体" w:hAnsi="楷体"/>
          <w:sz w:val="32"/>
          <w:szCs w:val="32"/>
        </w:rPr>
      </w:pPr>
      <w:r>
        <w:rPr>
          <w:rFonts w:ascii="楷体" w:cs="楷体" w:eastAsia="楷体" w:hAnsi="楷体" w:hint="eastAsia"/>
          <w:sz w:val="32"/>
          <w:szCs w:val="32"/>
        </w:rPr>
        <w:t>（一）北部野生抚育区</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1、野生抚育。</w:t>
      </w:r>
      <w:r>
        <w:rPr>
          <w:rFonts w:ascii="仿宋_GB2312" w:cs="仿宋_GB2312" w:eastAsia="仿宋_GB2312" w:hAnsi="仿宋_GB2312" w:hint="eastAsia"/>
          <w:sz w:val="32"/>
          <w:szCs w:val="32"/>
        </w:rPr>
        <w:t>林草中药材野生抚育是指在保持生态系统稳定的基础上，对原生境内自然生长的中药材，根据其生物学特性及群落生态环境特点，主要依靠自然条件、辅以轻微干预措施，提高种群生产力的一种中药材生态抚育模式。</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2、抚育模式。</w:t>
      </w:r>
      <w:r>
        <w:rPr>
          <w:rFonts w:ascii="仿宋_GB2312" w:cs="仿宋_GB2312" w:eastAsia="仿宋_GB2312" w:hAnsi="仿宋_GB2312" w:hint="eastAsia"/>
          <w:sz w:val="32"/>
          <w:szCs w:val="32"/>
        </w:rPr>
        <w:t>依据我盟林草中药材原生性特点和生境状况，综合考虑气候、土壤、水分、养分等条件及其影响因素，充分结合目标中药材资源分布和蕴藏量，合理确定林草中药材资源保护、原生境保育与采收利用相协调的抚育模式</w:t>
      </w:r>
      <w:r>
        <w:rPr>
          <w:rFonts w:ascii="仿宋_GB2312" w:cs="仿宋_GB2312" w:eastAsia="仿宋_GB2312" w:hAnsi="仿宋_GB2312" w:hint="eastAsia"/>
          <w:sz w:val="32"/>
          <w:szCs w:val="32"/>
          <w:lang w:eastAsia="zh-CN"/>
        </w:rPr>
        <w:t>。我盟野生抚育主要以</w:t>
      </w:r>
      <w:r>
        <w:rPr>
          <w:rFonts w:ascii="仿宋_GB2312" w:cs="仿宋_GB2312" w:eastAsia="仿宋_GB2312" w:hAnsi="仿宋_GB2312" w:hint="eastAsia"/>
          <w:sz w:val="32"/>
          <w:szCs w:val="32"/>
        </w:rPr>
        <w:t>封育模式（全封、半封、轮封）</w:t>
      </w:r>
      <w:r>
        <w:rPr>
          <w:rFonts w:ascii="仿宋_GB2312" w:cs="仿宋_GB2312" w:eastAsia="仿宋_GB2312" w:hAnsi="仿宋_GB2312" w:hint="eastAsia"/>
          <w:sz w:val="32"/>
          <w:szCs w:val="32"/>
          <w:lang w:eastAsia="zh-CN"/>
        </w:rPr>
        <w:t>为主</w:t>
      </w:r>
      <w:r>
        <w:rPr>
          <w:rFonts w:ascii="仿宋_GB2312" w:cs="仿宋_GB2312" w:eastAsia="仿宋_GB2312" w:hAnsi="仿宋_GB2312" w:hint="eastAsia"/>
          <w:sz w:val="32"/>
          <w:szCs w:val="32"/>
        </w:rPr>
        <w:t>。</w:t>
      </w:r>
    </w:p>
    <w:p>
      <w:pPr>
        <w:pStyle w:val="style77"/>
        <w:spacing w:after="0" w:lineRule="exact" w:line="600"/>
        <w:ind w:firstLine="643" w:firstLineChars="200"/>
        <w:rPr>
          <w:rFonts w:ascii="仿宋_GB2312" w:cs="仿宋_GB2312" w:eastAsia="仿宋_GB2312" w:hAnsi="仿宋_GB2312" w:hint="eastAsia"/>
          <w:sz w:val="32"/>
          <w:szCs w:val="32"/>
          <w:lang w:eastAsia="zh-CN"/>
        </w:rPr>
      </w:pPr>
      <w:r>
        <w:rPr>
          <w:rFonts w:ascii="仿宋_GB2312" w:cs="仿宋_GB2312" w:eastAsia="仿宋_GB2312" w:hAnsi="仿宋_GB2312" w:hint="eastAsia"/>
          <w:b/>
          <w:bCs/>
          <w:sz w:val="32"/>
          <w:szCs w:val="32"/>
        </w:rPr>
        <w:t>3、抚育区域。</w:t>
      </w:r>
      <w:r>
        <w:rPr>
          <w:rFonts w:ascii="仿宋_GB2312" w:cs="仿宋_GB2312" w:eastAsia="仿宋_GB2312" w:hAnsi="仿宋_GB2312" w:hint="eastAsia"/>
          <w:sz w:val="32"/>
          <w:szCs w:val="32"/>
          <w:lang w:eastAsia="zh-CN"/>
        </w:rPr>
        <w:t>在阿尔山</w:t>
      </w:r>
      <w:r>
        <w:rPr>
          <w:rFonts w:ascii="仿宋_GB2312" w:cs="仿宋_GB2312" w:eastAsia="仿宋_GB2312" w:hAnsi="仿宋_GB2312" w:hint="default"/>
          <w:sz w:val="32"/>
          <w:szCs w:val="32"/>
          <w:lang w:val="en-US" w:eastAsia="zh-CN"/>
        </w:rPr>
        <w:t>市，</w:t>
      </w:r>
      <w:r>
        <w:rPr>
          <w:rFonts w:ascii="仿宋_GB2312" w:cs="仿宋_GB2312" w:eastAsia="仿宋_GB2312" w:hAnsi="仿宋_GB2312" w:hint="eastAsia"/>
          <w:sz w:val="32"/>
          <w:szCs w:val="32"/>
          <w:lang w:eastAsia="zh-CN"/>
        </w:rPr>
        <w:t>科右前旗阿力得尔以北索伦镇、德伯斯镇，扎赉特旗巴彦乌兰苏木、新林镇、阿尔本格勒镇、阿拉达尔吐苏木、胡尔勒镇、巴达尔胡镇、巴彦扎拉嘎乡</w:t>
      </w:r>
      <w:r>
        <w:rPr>
          <w:rFonts w:ascii="仿宋_GB2312" w:cs="仿宋_GB2312" w:eastAsia="仿宋_GB2312" w:hAnsi="仿宋_GB2312" w:hint="default"/>
          <w:sz w:val="32"/>
          <w:szCs w:val="32"/>
          <w:lang w:val="en-US" w:eastAsia="zh-CN"/>
        </w:rPr>
        <w:t>等</w:t>
      </w:r>
      <w:r>
        <w:rPr>
          <w:rFonts w:ascii="仿宋_GB2312" w:cs="仿宋_GB2312" w:eastAsia="仿宋_GB2312" w:hAnsi="仿宋_GB2312" w:hint="eastAsia"/>
          <w:sz w:val="32"/>
          <w:szCs w:val="32"/>
        </w:rPr>
        <w:t>区域内选择</w:t>
      </w:r>
      <w:r>
        <w:rPr>
          <w:rFonts w:ascii="仿宋_GB2312" w:cs="仿宋_GB2312" w:eastAsia="仿宋_GB2312" w:hAnsi="仿宋_GB2312" w:hint="eastAsia"/>
          <w:sz w:val="32"/>
          <w:szCs w:val="32"/>
          <w:lang w:eastAsia="zh-CN"/>
        </w:rPr>
        <w:t>野生中药材集中分布、无污染、有经营潜力的区域，远离污染源和强人类活动区域（工矿、城镇等）作为抚育区。环境空气质量应符合环境空气功能一类区质量要求。设立在生态保护红线、公益林和各类自然保护地内的野生抚育区，其位置、功能分区和抚育活动要符合相关规定。</w:t>
      </w:r>
    </w:p>
    <w:p>
      <w:pPr>
        <w:pStyle w:val="style77"/>
        <w:spacing w:after="0" w:lineRule="exact" w:line="600"/>
        <w:ind w:firstLine="643" w:firstLineChars="200"/>
        <w:rPr>
          <w:rFonts w:ascii="仿宋_GB2312" w:cs="仿宋_GB2312" w:eastAsia="仿宋_GB2312" w:hAnsi="仿宋_GB2312"/>
          <w:color w:val="ff0000"/>
          <w:sz w:val="32"/>
          <w:szCs w:val="32"/>
        </w:rPr>
      </w:pPr>
      <w:r>
        <w:rPr>
          <w:rFonts w:ascii="仿宋_GB2312" w:cs="仿宋_GB2312" w:eastAsia="仿宋_GB2312" w:hAnsi="仿宋_GB2312" w:hint="eastAsia"/>
          <w:b/>
          <w:bCs/>
          <w:sz w:val="32"/>
          <w:szCs w:val="32"/>
        </w:rPr>
        <w:t>4、抚育对象。</w:t>
      </w:r>
      <w:r>
        <w:rPr>
          <w:rFonts w:ascii="仿宋_GB2312" w:cs="仿宋_GB2312" w:eastAsia="仿宋_GB2312" w:hAnsi="仿宋_GB2312" w:hint="eastAsia"/>
          <w:sz w:val="32"/>
          <w:szCs w:val="32"/>
        </w:rPr>
        <w:t>根据当地野生中药材资源分布、道地药材利用传统、抚育价值和生产潜力，</w:t>
      </w:r>
      <w:r>
        <w:rPr>
          <w:rFonts w:ascii="仿宋_GB2312" w:cs="仿宋_GB2312" w:eastAsia="仿宋_GB2312" w:hAnsi="仿宋_GB2312" w:hint="eastAsia"/>
          <w:sz w:val="32"/>
          <w:szCs w:val="32"/>
          <w:lang w:eastAsia="zh-CN"/>
        </w:rPr>
        <w:t>建议以</w:t>
      </w:r>
      <w:r>
        <w:rPr>
          <w:rFonts w:ascii="仿宋_GB2312" w:cs="仿宋_GB2312" w:eastAsia="仿宋_GB2312" w:hAnsi="仿宋_GB2312" w:hint="eastAsia"/>
          <w:sz w:val="32"/>
          <w:szCs w:val="32"/>
        </w:rPr>
        <w:t>苍术、赤芍、防风、黄芩、桔梗、黄芪等作为</w:t>
      </w:r>
      <w:r>
        <w:rPr>
          <w:rFonts w:ascii="仿宋_GB2312" w:cs="仿宋_GB2312" w:eastAsia="仿宋_GB2312" w:hAnsi="仿宋_GB2312" w:hint="eastAsia"/>
          <w:sz w:val="32"/>
          <w:szCs w:val="32"/>
          <w:lang w:eastAsia="zh-CN"/>
        </w:rPr>
        <w:t>主要</w:t>
      </w:r>
      <w:r>
        <w:rPr>
          <w:rFonts w:ascii="仿宋_GB2312" w:cs="仿宋_GB2312" w:eastAsia="仿宋_GB2312" w:hAnsi="仿宋_GB2312" w:hint="eastAsia"/>
          <w:sz w:val="32"/>
          <w:szCs w:val="32"/>
        </w:rPr>
        <w:t>抚育对象。</w:t>
      </w:r>
    </w:p>
    <w:p>
      <w:pPr>
        <w:pStyle w:val="style0"/>
        <w:spacing w:lineRule="exact" w:line="600"/>
        <w:ind w:firstLine="640" w:firstLineChars="200"/>
        <w:rPr>
          <w:rFonts w:ascii="楷体" w:cs="楷体" w:eastAsia="楷体" w:hAnsi="楷体"/>
          <w:color w:val="ff0000"/>
          <w:sz w:val="32"/>
          <w:szCs w:val="32"/>
        </w:rPr>
      </w:pPr>
      <w:r>
        <w:rPr>
          <w:rFonts w:ascii="楷体" w:cs="楷体" w:eastAsia="楷体" w:hAnsi="楷体" w:hint="eastAsia"/>
          <w:sz w:val="32"/>
          <w:szCs w:val="32"/>
        </w:rPr>
        <w:t>（二）中部仿野生</w:t>
      </w:r>
      <w:r>
        <w:rPr>
          <w:rFonts w:ascii="楷体" w:cs="楷体" w:eastAsia="楷体" w:hAnsi="楷体" w:hint="eastAsia"/>
          <w:sz w:val="32"/>
          <w:szCs w:val="32"/>
          <w:lang w:val="en-US" w:eastAsia="zh-CN"/>
        </w:rPr>
        <w:t>栽培</w:t>
      </w:r>
      <w:r>
        <w:rPr>
          <w:rFonts w:ascii="楷体" w:cs="楷体" w:eastAsia="楷体" w:hAnsi="楷体" w:hint="eastAsia"/>
          <w:sz w:val="32"/>
          <w:szCs w:val="32"/>
        </w:rPr>
        <w:t>区</w:t>
      </w:r>
    </w:p>
    <w:p>
      <w:pPr>
        <w:pStyle w:val="style77"/>
        <w:spacing w:after="0" w:lineRule="exact" w:line="600"/>
        <w:ind w:firstLine="643" w:firstLineChars="200"/>
        <w:rPr>
          <w:rFonts w:ascii="仿宋_GB2312" w:cs="仿宋_GB2312" w:eastAsia="仿宋_GB2312" w:hAnsi="仿宋_GB2312"/>
          <w:sz w:val="32"/>
          <w:szCs w:val="32"/>
        </w:rPr>
      </w:pPr>
      <w:r>
        <w:rPr>
          <w:rFonts w:ascii="仿宋_GB2312" w:cs="仿宋_GB2312" w:eastAsia="仿宋_GB2312" w:hAnsi="仿宋_GB2312" w:hint="eastAsia"/>
          <w:b/>
          <w:bCs/>
          <w:sz w:val="32"/>
          <w:szCs w:val="32"/>
        </w:rPr>
        <w:t>1、仿野生栽培。</w:t>
      </w:r>
      <w:r>
        <w:rPr>
          <w:rFonts w:ascii="仿宋_GB2312" w:cs="仿宋_GB2312" w:eastAsia="仿宋_GB2312" w:hAnsi="仿宋_GB2312" w:hint="eastAsia"/>
          <w:sz w:val="32"/>
          <w:szCs w:val="32"/>
        </w:rPr>
        <w:t>林草中药材仿野生栽培是指在生态条件相对稳定的自然环境中，根据中药材生长发育习性及其对生态环境的要求，遵循自然法则和规律，模仿中药材野生环境和自然生长状态，再现植物与外界环境良好生态关系的中药材生态培育模式。</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2、栽培模式：</w:t>
      </w:r>
      <w:r>
        <w:rPr>
          <w:rFonts w:ascii="仿宋_GB2312" w:cs="仿宋_GB2312" w:eastAsia="仿宋_GB2312" w:hAnsi="仿宋_GB2312" w:hint="eastAsia"/>
          <w:sz w:val="32"/>
          <w:szCs w:val="32"/>
        </w:rPr>
        <w:t>依据目标林草中药材在适生境的天然生长状态和野生条件要素，充分利用自然生态条件和特征，</w:t>
      </w:r>
      <w:r>
        <w:rPr>
          <w:rFonts w:ascii="仿宋_GB2312" w:cs="仿宋_GB2312" w:eastAsia="仿宋_GB2312" w:hAnsi="仿宋_GB2312" w:hint="eastAsia"/>
          <w:sz w:val="32"/>
          <w:szCs w:val="32"/>
          <w:lang w:eastAsia="zh-CN"/>
        </w:rPr>
        <w:t>我盟仿野生栽培主要</w:t>
      </w:r>
      <w:r>
        <w:rPr>
          <w:rFonts w:ascii="仿宋_GB2312" w:cs="仿宋_GB2312" w:eastAsia="仿宋_GB2312" w:hAnsi="仿宋_GB2312" w:hint="eastAsia"/>
          <w:sz w:val="32"/>
          <w:szCs w:val="32"/>
        </w:rPr>
        <w:t>采用林荫栽培、野生撒播</w:t>
      </w:r>
      <w:r>
        <w:rPr>
          <w:rFonts w:ascii="仿宋_GB2312" w:cs="仿宋_GB2312" w:eastAsia="仿宋_GB2312" w:hAnsi="仿宋_GB2312" w:hint="eastAsia"/>
          <w:sz w:val="32"/>
          <w:szCs w:val="32"/>
          <w:lang w:eastAsia="zh-CN"/>
        </w:rPr>
        <w:t>等</w:t>
      </w:r>
      <w:r>
        <w:rPr>
          <w:rFonts w:ascii="仿宋_GB2312" w:cs="仿宋_GB2312" w:eastAsia="仿宋_GB2312" w:hAnsi="仿宋_GB2312" w:hint="eastAsia"/>
          <w:sz w:val="32"/>
          <w:szCs w:val="32"/>
        </w:rPr>
        <w:t>模式。</w:t>
      </w:r>
    </w:p>
    <w:p>
      <w:pPr>
        <w:pStyle w:val="style77"/>
        <w:spacing w:after="0" w:lineRule="exact" w:line="600"/>
        <w:ind w:firstLine="643" w:firstLineChars="200"/>
        <w:rPr>
          <w:rFonts w:ascii="仿宋_GB2312" w:cs="仿宋_GB2312" w:eastAsia="仿宋_GB2312" w:hAnsi="仿宋_GB2312"/>
          <w:sz w:val="32"/>
          <w:szCs w:val="32"/>
        </w:rPr>
      </w:pPr>
      <w:r>
        <w:rPr>
          <w:rFonts w:ascii="仿宋_GB2312" w:cs="仿宋_GB2312" w:eastAsia="仿宋_GB2312" w:hAnsi="仿宋_GB2312" w:hint="eastAsia"/>
          <w:b/>
          <w:bCs/>
          <w:sz w:val="32"/>
          <w:szCs w:val="32"/>
        </w:rPr>
        <w:t>3、栽培区域：</w:t>
      </w:r>
      <w:r>
        <w:rPr>
          <w:rFonts w:ascii="仿宋_GB2312" w:cs="仿宋_GB2312" w:eastAsia="仿宋_GB2312" w:hAnsi="仿宋_GB2312" w:hint="eastAsia"/>
          <w:sz w:val="32"/>
          <w:szCs w:val="32"/>
        </w:rPr>
        <w:t>在科右前旗阿力得尔苏木以南</w:t>
      </w:r>
      <w:r>
        <w:rPr>
          <w:rFonts w:ascii="仿宋_GB2312" w:cs="仿宋_GB2312" w:eastAsia="仿宋_GB2312" w:hAnsi="仿宋_GB2312" w:hint="eastAsia"/>
          <w:sz w:val="32"/>
          <w:szCs w:val="32"/>
          <w:lang w:eastAsia="zh-CN"/>
        </w:rPr>
        <w:t>大石寨镇、俄体镇、归流河镇、巴日嘎斯台乡、察尔森镇</w:t>
      </w:r>
      <w:r>
        <w:rPr>
          <w:rFonts w:ascii="仿宋_GB2312" w:cs="仿宋_GB2312" w:eastAsia="仿宋_GB2312" w:hAnsi="仿宋_GB2312" w:hint="default"/>
          <w:sz w:val="32"/>
          <w:szCs w:val="32"/>
          <w:lang w:val="en-US" w:eastAsia="zh-CN"/>
        </w:rPr>
        <w:t>、</w:t>
      </w:r>
      <w:r>
        <w:rPr>
          <w:rFonts w:ascii="仿宋_GB2312" w:cs="仿宋_GB2312" w:eastAsia="仿宋_GB2312" w:hAnsi="仿宋_GB2312" w:hint="default"/>
          <w:b w:val="false"/>
          <w:bCs w:val="false"/>
          <w:i w:val="false"/>
          <w:iCs w:val="false"/>
          <w:color w:val="auto"/>
          <w:sz w:val="32"/>
          <w:szCs w:val="32"/>
          <w:highlight w:val="none"/>
          <w:vertAlign w:val="baseline"/>
          <w:em w:val="none"/>
          <w:lang w:val="en-US" w:bidi="ar-SA" w:eastAsia="zh-CN"/>
        </w:rPr>
        <w:t>额尔格图镇、跃进马场</w:t>
      </w:r>
      <w:r>
        <w:rPr>
          <w:rFonts w:ascii="仿宋_GB2312" w:cs="仿宋_GB2312" w:eastAsia="仿宋_GB2312" w:hAnsi="仿宋_GB2312" w:hint="eastAsia"/>
          <w:sz w:val="32"/>
          <w:szCs w:val="32"/>
          <w:lang w:eastAsia="zh-CN"/>
        </w:rPr>
        <w:t>等</w:t>
      </w:r>
      <w:r>
        <w:rPr>
          <w:rFonts w:ascii="仿宋_GB2312" w:cs="仿宋_GB2312" w:eastAsia="仿宋_GB2312" w:hAnsi="仿宋_GB2312" w:hint="eastAsia"/>
          <w:sz w:val="32"/>
          <w:szCs w:val="32"/>
        </w:rPr>
        <w:t>区域</w:t>
      </w:r>
      <w:r>
        <w:rPr>
          <w:rFonts w:ascii="仿宋_GB2312" w:cs="仿宋_GB2312" w:eastAsia="仿宋_GB2312" w:hAnsi="仿宋_GB2312" w:hint="default"/>
          <w:sz w:val="32"/>
          <w:szCs w:val="32"/>
          <w:lang w:val="en-US"/>
        </w:rPr>
        <w:t>，</w:t>
      </w:r>
      <w:r>
        <w:rPr>
          <w:rFonts w:ascii="仿宋_GB2312" w:cs="仿宋_GB2312" w:eastAsia="仿宋_GB2312" w:hAnsi="仿宋_GB2312" w:hint="eastAsia"/>
          <w:sz w:val="32"/>
          <w:szCs w:val="32"/>
        </w:rPr>
        <w:t>扎赉特旗</w:t>
      </w:r>
      <w:r>
        <w:rPr>
          <w:rFonts w:ascii="仿宋_GB2312" w:cs="仿宋_GB2312" w:eastAsia="仿宋_GB2312" w:hAnsi="仿宋_GB2312" w:hint="eastAsia"/>
          <w:sz w:val="32"/>
          <w:szCs w:val="32"/>
          <w:lang w:eastAsia="zh-CN"/>
        </w:rPr>
        <w:t>音德尔镇、巴彦高勒镇等</w:t>
      </w:r>
      <w:r>
        <w:rPr>
          <w:rFonts w:ascii="仿宋_GB2312" w:cs="仿宋_GB2312" w:eastAsia="仿宋_GB2312" w:hAnsi="仿宋_GB2312" w:hint="eastAsia"/>
          <w:sz w:val="32"/>
          <w:szCs w:val="32"/>
        </w:rPr>
        <w:t>南部区域内选择森林、草原、荒漠、湿地等未被污染、自然环境</w:t>
      </w:r>
      <w:r>
        <w:rPr>
          <w:rFonts w:ascii="仿宋_GB2312" w:cs="仿宋_GB2312" w:eastAsia="仿宋_GB2312" w:hAnsi="仿宋_GB2312" w:hint="eastAsia"/>
          <w:sz w:val="32"/>
          <w:szCs w:val="32"/>
          <w:lang w:eastAsia="zh-CN"/>
        </w:rPr>
        <w:t>适宜</w:t>
      </w:r>
      <w:r>
        <w:rPr>
          <w:rFonts w:ascii="仿宋_GB2312" w:cs="仿宋_GB2312" w:eastAsia="仿宋_GB2312" w:hAnsi="仿宋_GB2312" w:hint="eastAsia"/>
          <w:sz w:val="32"/>
          <w:szCs w:val="32"/>
        </w:rPr>
        <w:t>、远离污染源，且符合国家有关规定的区域作为栽培区域。优先选择中药材道地产区，在非道地产区，选定的栽培区应与目标中药材品种原生境土壤、气候等条件类似，并充分论证其种植适宜性。</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4、栽培品种：</w:t>
      </w:r>
      <w:r>
        <w:rPr>
          <w:rFonts w:ascii="仿宋_GB2312" w:cs="仿宋_GB2312" w:eastAsia="仿宋_GB2312" w:hAnsi="仿宋_GB2312" w:hint="eastAsia"/>
          <w:sz w:val="32"/>
          <w:szCs w:val="32"/>
        </w:rPr>
        <w:t>遵循适地适药、良种优先原则，选择性状稳定、适宜性强的林草中药材品种，优先选择本地区道地品种、优良乡土品种和种植实验成功的引种品种，</w:t>
      </w:r>
      <w:r>
        <w:rPr>
          <w:rFonts w:ascii="仿宋_GB2312" w:cs="仿宋_GB2312" w:eastAsia="仿宋_GB2312" w:hAnsi="仿宋_GB2312" w:hint="eastAsia"/>
          <w:sz w:val="32"/>
          <w:szCs w:val="32"/>
          <w:lang w:eastAsia="zh-CN"/>
        </w:rPr>
        <w:t>建议以</w:t>
      </w:r>
      <w:r>
        <w:rPr>
          <w:rFonts w:ascii="仿宋_GB2312" w:cs="仿宋_GB2312" w:eastAsia="仿宋_GB2312" w:hAnsi="仿宋_GB2312" w:hint="eastAsia"/>
          <w:sz w:val="32"/>
          <w:szCs w:val="32"/>
        </w:rPr>
        <w:t>苍术、赤芍、防风、黄芩、桔梗、黄芪等</w:t>
      </w:r>
      <w:r>
        <w:rPr>
          <w:rFonts w:ascii="仿宋_GB2312" w:cs="仿宋_GB2312" w:eastAsia="仿宋_GB2312" w:hAnsi="仿宋_GB2312" w:hint="eastAsia"/>
          <w:sz w:val="32"/>
          <w:szCs w:val="32"/>
          <w:lang w:eastAsia="zh-CN"/>
        </w:rPr>
        <w:t>作为主要</w:t>
      </w:r>
      <w:r>
        <w:rPr>
          <w:rFonts w:ascii="仿宋_GB2312" w:cs="仿宋_GB2312" w:eastAsia="仿宋_GB2312" w:hAnsi="仿宋_GB2312" w:hint="eastAsia"/>
          <w:sz w:val="32"/>
          <w:szCs w:val="32"/>
        </w:rPr>
        <w:t>栽培品种。</w:t>
      </w:r>
    </w:p>
    <w:p>
      <w:pPr>
        <w:pStyle w:val="style0"/>
        <w:spacing w:lineRule="exact" w:line="600"/>
        <w:ind w:firstLine="640" w:firstLineChars="200"/>
        <w:rPr>
          <w:rFonts w:ascii="楷体" w:cs="楷体" w:eastAsia="楷体" w:hAnsi="楷体"/>
          <w:sz w:val="32"/>
          <w:szCs w:val="32"/>
        </w:rPr>
      </w:pPr>
      <w:r>
        <w:rPr>
          <w:rFonts w:ascii="楷体" w:cs="楷体" w:eastAsia="楷体" w:hAnsi="楷体" w:hint="eastAsia"/>
          <w:sz w:val="32"/>
          <w:szCs w:val="32"/>
        </w:rPr>
        <w:t>（三）南部生态种植区</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1、生态种植：</w:t>
      </w:r>
      <w:r>
        <w:rPr>
          <w:rFonts w:ascii="仿宋_GB2312" w:cs="仿宋_GB2312" w:eastAsia="仿宋_GB2312" w:hAnsi="仿宋_GB2312" w:hint="eastAsia"/>
          <w:sz w:val="32"/>
          <w:szCs w:val="32"/>
        </w:rPr>
        <w:t>林草中药材生态种植是指在保持生态系统稳定的基础上，遵循生态学和生态经济学原理，采用清洁化生产、绿色防控等生态培育措施种植药用植物，保证中药材的质量和安全，实现生态经济良性循环的中药材生态培育模式。</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2、种植模式：</w:t>
      </w:r>
      <w:r>
        <w:rPr>
          <w:rFonts w:ascii="仿宋_GB2312" w:cs="仿宋_GB2312" w:eastAsia="仿宋_GB2312" w:hAnsi="仿宋_GB2312" w:hint="eastAsia"/>
          <w:sz w:val="32"/>
          <w:szCs w:val="32"/>
        </w:rPr>
        <w:t>根据中药材品种的生长特性和种植区环境特点，采用不同的生态种植模式培育中药材。</w:t>
      </w:r>
      <w:r>
        <w:rPr>
          <w:rFonts w:ascii="仿宋_GB2312" w:cs="仿宋_GB2312" w:eastAsia="仿宋_GB2312" w:hAnsi="仿宋_GB2312" w:hint="eastAsia"/>
          <w:sz w:val="32"/>
          <w:szCs w:val="32"/>
          <w:lang w:eastAsia="zh-CN"/>
        </w:rPr>
        <w:t>我盟生态种植</w:t>
      </w:r>
      <w:r>
        <w:rPr>
          <w:rFonts w:ascii="仿宋_GB2312" w:cs="仿宋_GB2312" w:eastAsia="仿宋_GB2312" w:hAnsi="仿宋_GB2312" w:hint="eastAsia"/>
          <w:sz w:val="32"/>
          <w:szCs w:val="32"/>
        </w:rPr>
        <w:t>主要</w:t>
      </w:r>
      <w:r>
        <w:rPr>
          <w:rFonts w:ascii="仿宋_GB2312" w:cs="仿宋_GB2312" w:eastAsia="仿宋_GB2312" w:hAnsi="仿宋_GB2312" w:hint="eastAsia"/>
          <w:sz w:val="32"/>
          <w:szCs w:val="32"/>
          <w:lang w:eastAsia="zh-CN"/>
        </w:rPr>
        <w:t>采用</w:t>
      </w:r>
      <w:r>
        <w:rPr>
          <w:rFonts w:ascii="仿宋_GB2312" w:cs="仿宋_GB2312" w:eastAsia="仿宋_GB2312" w:hAnsi="仿宋_GB2312" w:hint="eastAsia"/>
          <w:sz w:val="32"/>
          <w:szCs w:val="32"/>
        </w:rPr>
        <w:t>林下种植、间套作种植、轮替种植</w:t>
      </w:r>
      <w:r>
        <w:rPr>
          <w:rFonts w:ascii="仿宋_GB2312" w:cs="仿宋_GB2312" w:eastAsia="仿宋_GB2312" w:hAnsi="仿宋_GB2312" w:hint="eastAsia"/>
          <w:sz w:val="32"/>
          <w:szCs w:val="32"/>
          <w:lang w:eastAsia="zh-CN"/>
        </w:rPr>
        <w:t>等为主</w:t>
      </w:r>
      <w:r>
        <w:rPr>
          <w:rFonts w:ascii="仿宋_GB2312" w:cs="仿宋_GB2312" w:eastAsia="仿宋_GB2312" w:hAnsi="仿宋_GB2312" w:hint="eastAsia"/>
          <w:sz w:val="32"/>
          <w:szCs w:val="32"/>
        </w:rPr>
        <w:t>。</w:t>
      </w:r>
    </w:p>
    <w:p>
      <w:pPr>
        <w:pStyle w:val="style77"/>
        <w:spacing w:after="0" w:lineRule="exact" w:line="600"/>
        <w:ind w:firstLine="643" w:firstLineChars="200"/>
        <w:rPr>
          <w:rFonts w:ascii="仿宋_GB2312" w:cs="仿宋_GB2312" w:eastAsia="仿宋_GB2312" w:hAnsi="仿宋_GB2312"/>
          <w:sz w:val="32"/>
          <w:szCs w:val="32"/>
        </w:rPr>
      </w:pPr>
      <w:r>
        <w:rPr>
          <w:rFonts w:ascii="仿宋_GB2312" w:cs="仿宋_GB2312" w:eastAsia="仿宋_GB2312" w:hAnsi="仿宋_GB2312" w:hint="eastAsia"/>
          <w:b/>
          <w:bCs/>
          <w:sz w:val="32"/>
          <w:szCs w:val="32"/>
        </w:rPr>
        <w:t>3、种植区域：</w:t>
      </w:r>
      <w:r>
        <w:rPr>
          <w:rFonts w:ascii="仿宋_GB2312" w:cs="仿宋_GB2312" w:eastAsia="仿宋_GB2312" w:hAnsi="仿宋_GB2312" w:hint="eastAsia"/>
          <w:sz w:val="32"/>
          <w:szCs w:val="32"/>
        </w:rPr>
        <w:t>在乌兰浩特市</w:t>
      </w:r>
      <w:r>
        <w:rPr>
          <w:rFonts w:ascii="仿宋_GB2312" w:cs="仿宋_GB2312" w:eastAsia="仿宋_GB2312" w:hAnsi="仿宋_GB2312" w:hint="eastAsia"/>
          <w:sz w:val="32"/>
          <w:szCs w:val="32"/>
          <w:lang w:eastAsia="zh-CN"/>
        </w:rPr>
        <w:t>葛根庙镇、太本站镇、义勒力特镇等区域</w:t>
      </w:r>
      <w:r>
        <w:rPr>
          <w:rFonts w:ascii="仿宋_GB2312" w:cs="仿宋_GB2312" w:eastAsia="仿宋_GB2312" w:hAnsi="仿宋_GB2312" w:hint="default"/>
          <w:sz w:val="32"/>
          <w:szCs w:val="32"/>
          <w:lang w:val="en-US" w:eastAsia="zh-CN"/>
        </w:rPr>
        <w:t>，</w:t>
      </w:r>
      <w:r>
        <w:rPr>
          <w:rFonts w:ascii="仿宋_GB2312" w:cs="仿宋_GB2312" w:eastAsia="仿宋_GB2312" w:hAnsi="仿宋_GB2312" w:hint="eastAsia"/>
          <w:sz w:val="32"/>
          <w:szCs w:val="32"/>
        </w:rPr>
        <w:t>突泉县</w:t>
      </w:r>
      <w:r>
        <w:rPr>
          <w:rFonts w:ascii="仿宋_GB2312" w:cs="仿宋_GB2312" w:eastAsia="仿宋_GB2312" w:hAnsi="仿宋_GB2312" w:hint="eastAsia"/>
          <w:sz w:val="32"/>
          <w:szCs w:val="32"/>
          <w:lang w:eastAsia="zh-CN"/>
        </w:rPr>
        <w:t>宝石镇、学田乡、六户镇、永安镇、太平乡等区域</w:t>
      </w:r>
      <w:r>
        <w:rPr>
          <w:rFonts w:ascii="仿宋_GB2312" w:cs="仿宋_GB2312" w:eastAsia="仿宋_GB2312" w:hAnsi="仿宋_GB2312" w:hint="default"/>
          <w:sz w:val="32"/>
          <w:szCs w:val="32"/>
          <w:lang w:val="en-US" w:eastAsia="zh-CN"/>
        </w:rPr>
        <w:t>，</w:t>
      </w:r>
      <w:r>
        <w:rPr>
          <w:rFonts w:ascii="仿宋_GB2312" w:cs="仿宋_GB2312" w:eastAsia="仿宋_GB2312" w:hAnsi="仿宋_GB2312" w:hint="eastAsia"/>
          <w:sz w:val="32"/>
          <w:szCs w:val="32"/>
        </w:rPr>
        <w:t>科右中旗</w:t>
      </w:r>
      <w:r>
        <w:rPr>
          <w:rFonts w:ascii="仿宋_GB2312" w:cs="仿宋_GB2312" w:eastAsia="仿宋_GB2312" w:hAnsi="仿宋_GB2312" w:hint="eastAsia"/>
          <w:sz w:val="32"/>
          <w:szCs w:val="32"/>
          <w:lang w:eastAsia="zh-CN"/>
        </w:rPr>
        <w:t>代钦塔拉苏木、高力板镇、杜尔基镇、额木庭高勒</w:t>
      </w:r>
      <w:r>
        <w:rPr>
          <w:rFonts w:ascii="仿宋_GB2312" w:cs="仿宋_GB2312" w:eastAsia="仿宋_GB2312" w:hAnsi="仿宋_GB2312" w:hint="default"/>
          <w:sz w:val="32"/>
          <w:szCs w:val="32"/>
          <w:lang w:val="en-US" w:eastAsia="zh-CN"/>
        </w:rPr>
        <w:t>等区域</w:t>
      </w:r>
      <w:r>
        <w:rPr>
          <w:rFonts w:ascii="仿宋_GB2312" w:cs="仿宋_GB2312" w:eastAsia="仿宋_GB2312" w:hAnsi="仿宋_GB2312" w:hint="eastAsia"/>
          <w:sz w:val="32"/>
          <w:szCs w:val="32"/>
        </w:rPr>
        <w:t>选择森林、草原、湿地等未被污染，自然环境适宜，远离污染源，且符合国家有关规定的区域。优先选择道地中药材产区，在非道地产区，应充分论证其种植适宜性和生态风险。</w:t>
      </w:r>
    </w:p>
    <w:p>
      <w:pPr>
        <w:pStyle w:val="style77"/>
        <w:spacing w:after="0" w:lineRule="exact" w:line="600"/>
        <w:ind w:firstLine="643" w:firstLineChars="200"/>
        <w:rPr>
          <w:rFonts w:ascii="仿宋_GB2312" w:cs="仿宋_GB2312" w:eastAsia="仿宋_GB2312" w:hAnsi="仿宋_GB2312"/>
          <w:sz w:val="32"/>
          <w:szCs w:val="32"/>
        </w:rPr>
      </w:pPr>
      <w:r>
        <w:rPr>
          <w:rFonts w:ascii="仿宋_GB2312" w:cs="仿宋_GB2312" w:eastAsia="仿宋_GB2312" w:hAnsi="仿宋_GB2312" w:hint="eastAsia"/>
          <w:b/>
          <w:bCs/>
          <w:sz w:val="32"/>
          <w:szCs w:val="32"/>
        </w:rPr>
        <w:t>4、品种选择：</w:t>
      </w:r>
      <w:r>
        <w:rPr>
          <w:rFonts w:ascii="仿宋_GB2312" w:cs="仿宋_GB2312" w:eastAsia="仿宋_GB2312" w:hAnsi="仿宋_GB2312" w:hint="eastAsia"/>
          <w:sz w:val="32"/>
          <w:szCs w:val="32"/>
        </w:rPr>
        <w:t>遵循适地适药、良种优先原则，结合自然条件</w:t>
      </w:r>
      <w:r>
        <w:rPr>
          <w:rFonts w:ascii="仿宋_GB2312" w:cs="仿宋_GB2312" w:eastAsia="仿宋_GB2312" w:hAnsi="仿宋_GB2312" w:hint="eastAsia"/>
          <w:sz w:val="32"/>
          <w:szCs w:val="32"/>
          <w:lang w:eastAsia="zh-CN"/>
        </w:rPr>
        <w:t>建议以</w:t>
      </w:r>
      <w:r>
        <w:rPr>
          <w:rFonts w:ascii="仿宋_GB2312" w:cs="仿宋_GB2312" w:eastAsia="仿宋_GB2312" w:hAnsi="仿宋_GB2312" w:hint="eastAsia"/>
          <w:sz w:val="32"/>
          <w:szCs w:val="32"/>
        </w:rPr>
        <w:t>苍术、赤芍、防风、黄芩、桔梗、黄芪等</w:t>
      </w:r>
      <w:r>
        <w:rPr>
          <w:rFonts w:ascii="仿宋_GB2312" w:cs="仿宋_GB2312" w:eastAsia="仿宋_GB2312" w:hAnsi="仿宋_GB2312" w:hint="eastAsia"/>
          <w:sz w:val="32"/>
          <w:szCs w:val="32"/>
          <w:lang w:eastAsia="zh-CN"/>
        </w:rPr>
        <w:t>作</w:t>
      </w:r>
      <w:r>
        <w:rPr>
          <w:rFonts w:ascii="仿宋_GB2312" w:cs="仿宋_GB2312" w:eastAsia="仿宋_GB2312" w:hAnsi="仿宋_GB2312" w:hint="eastAsia"/>
          <w:sz w:val="32"/>
          <w:szCs w:val="32"/>
        </w:rPr>
        <w:t>为</w:t>
      </w:r>
      <w:r>
        <w:rPr>
          <w:rFonts w:ascii="仿宋_GB2312" w:cs="仿宋_GB2312" w:eastAsia="仿宋_GB2312" w:hAnsi="仿宋_GB2312" w:hint="eastAsia"/>
          <w:sz w:val="32"/>
          <w:szCs w:val="32"/>
          <w:lang w:eastAsia="zh-CN"/>
        </w:rPr>
        <w:t>主要</w:t>
      </w:r>
      <w:r>
        <w:rPr>
          <w:rFonts w:ascii="仿宋_GB2312" w:cs="仿宋_GB2312" w:eastAsia="仿宋_GB2312" w:hAnsi="仿宋_GB2312" w:hint="eastAsia"/>
          <w:sz w:val="32"/>
          <w:szCs w:val="32"/>
        </w:rPr>
        <w:t>种植品种。</w:t>
      </w:r>
    </w:p>
    <w:p>
      <w:pPr>
        <w:pStyle w:val="style77"/>
        <w:spacing w:after="0" w:lineRule="exact" w:line="600"/>
        <w:ind w:firstLine="640" w:firstLineChars="200"/>
        <w:rPr>
          <w:rFonts w:ascii="黑体" w:cs="黑体" w:eastAsia="黑体" w:hAnsi="黑体" w:hint="eastAsia"/>
          <w:sz w:val="32"/>
          <w:szCs w:val="32"/>
        </w:rPr>
      </w:pPr>
      <w:r>
        <w:rPr>
          <w:rFonts w:ascii="黑体" w:cs="黑体" w:eastAsia="黑体" w:hAnsi="黑体" w:hint="eastAsia"/>
          <w:sz w:val="32"/>
          <w:szCs w:val="32"/>
        </w:rPr>
        <w:t>四、其他要求</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（一）种源要求</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1、种源选择。</w:t>
      </w:r>
      <w:r>
        <w:rPr>
          <w:rFonts w:ascii="仿宋_GB2312" w:cs="仿宋_GB2312" w:eastAsia="仿宋_GB2312" w:hAnsi="仿宋_GB2312" w:hint="eastAsia"/>
          <w:sz w:val="32"/>
          <w:szCs w:val="32"/>
        </w:rPr>
        <w:t>选择的种源应符合中药材相关标准要求，优先选择道地产区、具有中药材种子种苗生产经营资质单位所繁育的种苗。</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2、种源质量。</w:t>
      </w:r>
      <w:r>
        <w:rPr>
          <w:rFonts w:ascii="仿宋_GB2312" w:cs="仿宋_GB2312" w:eastAsia="仿宋_GB2312" w:hAnsi="仿宋_GB2312" w:hint="eastAsia"/>
          <w:sz w:val="32"/>
          <w:szCs w:val="32"/>
        </w:rPr>
        <w:t>中药材种苗应当符合国家、行业或者地方标准，没有标准的，应当明确生产基地所使用种苗等级与相关质量要求。禁止选用转基因的种质或繁殖材料。</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3、种源检疫。</w:t>
      </w:r>
      <w:r>
        <w:rPr>
          <w:rFonts w:ascii="仿宋_GB2312" w:cs="仿宋_GB2312" w:eastAsia="仿宋_GB2312" w:hAnsi="仿宋_GB2312" w:hint="eastAsia"/>
          <w:sz w:val="32"/>
          <w:szCs w:val="32"/>
        </w:rPr>
        <w:t>从本旗县以外调运的中药材种苗，应当按国家要求实施检疫。</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（二）种植要求</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1、种植区选定。</w:t>
      </w:r>
      <w:r>
        <w:rPr>
          <w:rFonts w:ascii="仿宋_GB2312" w:cs="仿宋_GB2312" w:eastAsia="仿宋_GB2312" w:hAnsi="仿宋_GB2312" w:hint="eastAsia"/>
          <w:b w:val="false"/>
          <w:bCs w:val="false"/>
          <w:sz w:val="32"/>
          <w:szCs w:val="32"/>
          <w:lang w:eastAsia="zh-CN"/>
        </w:rPr>
        <w:t>三种种植模式的种植区域均要</w:t>
      </w:r>
      <w:r>
        <w:rPr>
          <w:rFonts w:ascii="仿宋_GB2312" w:cs="仿宋_GB2312" w:eastAsia="仿宋_GB2312" w:hAnsi="仿宋_GB2312" w:hint="eastAsia"/>
          <w:b w:val="false"/>
          <w:bCs w:val="false"/>
          <w:sz w:val="32"/>
          <w:szCs w:val="32"/>
        </w:rPr>
        <w:t>选</w:t>
      </w:r>
      <w:r>
        <w:rPr>
          <w:rFonts w:ascii="仿宋_GB2312" w:cs="仿宋_GB2312" w:eastAsia="仿宋_GB2312" w:hAnsi="仿宋_GB2312" w:hint="eastAsia"/>
          <w:sz w:val="32"/>
          <w:szCs w:val="32"/>
        </w:rPr>
        <w:t>择未被污染</w:t>
      </w:r>
      <w:r>
        <w:rPr>
          <w:rFonts w:ascii="仿宋_GB2312" w:cs="仿宋_GB2312" w:eastAsia="仿宋_GB2312" w:hAnsi="仿宋_GB2312" w:hint="eastAsia"/>
          <w:sz w:val="32"/>
          <w:szCs w:val="32"/>
          <w:lang w:eastAsia="zh-CN"/>
        </w:rPr>
        <w:t>、</w:t>
      </w:r>
      <w:r>
        <w:rPr>
          <w:rFonts w:ascii="仿宋_GB2312" w:cs="仿宋_GB2312" w:eastAsia="仿宋_GB2312" w:hAnsi="仿宋_GB2312" w:hint="eastAsia"/>
          <w:sz w:val="32"/>
          <w:szCs w:val="32"/>
        </w:rPr>
        <w:t>自然环境适宜，且符合国家有关规定的区域。结合自然地理条件，优先选择道地中药材产区。在非道地产区，应充分通过种植适宜性论证及其生态风险评估后科学选定。</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2、土地整理。</w:t>
      </w:r>
      <w:r>
        <w:rPr>
          <w:rFonts w:ascii="仿宋_GB2312" w:cs="仿宋_GB2312" w:eastAsia="仿宋_GB2312" w:hAnsi="仿宋_GB2312" w:hint="eastAsia"/>
          <w:sz w:val="32"/>
          <w:szCs w:val="32"/>
        </w:rPr>
        <w:t>土地整理要严格按照相关规定和标准，采取作业保护和水土保持措施，避免造成土壤污染和水土流失。</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3、播种栽植。</w:t>
      </w:r>
      <w:r>
        <w:rPr>
          <w:rFonts w:ascii="仿宋_GB2312" w:cs="仿宋_GB2312" w:eastAsia="仿宋_GB2312" w:hAnsi="仿宋_GB2312" w:hint="eastAsia"/>
          <w:sz w:val="32"/>
          <w:szCs w:val="32"/>
        </w:rPr>
        <w:t>根据所选中药材种类（品种）的繁殖方式，采用种子直播、育苗移栽、根茎埋植等方式种植。</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4、科学施肥。</w:t>
      </w:r>
      <w:r>
        <w:rPr>
          <w:rFonts w:ascii="仿宋_GB2312" w:cs="仿宋_GB2312" w:eastAsia="仿宋_GB2312" w:hAnsi="仿宋_GB2312" w:hint="eastAsia"/>
          <w:sz w:val="32"/>
          <w:szCs w:val="32"/>
        </w:rPr>
        <w:t>根据所种植的中药材养分需求特性和土壤供肥保肥特性，科学制定肥料使用技术规程，合理使用肥料，并应符合国家林业和草原局关于林草中药材生态种植、野生抚育、仿野生栽培三个通则的有关要求，禁止施用化学肥料及有害物质超标的肥料。</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5、有害生物防控。</w:t>
      </w:r>
      <w:r>
        <w:rPr>
          <w:rFonts w:ascii="仿宋_GB2312" w:cs="仿宋_GB2312" w:eastAsia="仿宋_GB2312" w:hAnsi="仿宋_GB2312" w:hint="eastAsia"/>
          <w:sz w:val="32"/>
          <w:szCs w:val="32"/>
        </w:rPr>
        <w:t>遵循“预防为主、综合防治”原则，加强林下中药材有害生物的调查监测。根据有害生物种类、发生规律和危害特点，科学制定防治方案，因地制宜选用自然调控防治、物理防治、生物防治等绿色防控技术防治。禁止使用化学农药。</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（三）采收与初加工</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1、采收时期。</w:t>
      </w:r>
      <w:r>
        <w:rPr>
          <w:rFonts w:ascii="仿宋_GB2312" w:cs="仿宋_GB2312" w:eastAsia="仿宋_GB2312" w:hAnsi="仿宋_GB2312" w:hint="eastAsia"/>
          <w:sz w:val="32"/>
          <w:szCs w:val="32"/>
        </w:rPr>
        <w:t>参照传统采收经验和现代研究成果，根据药材的品种、入药部位和气候条件确定适宜的采收时间，确保药材质量。</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2、采收方法。</w:t>
      </w:r>
      <w:r>
        <w:rPr>
          <w:rFonts w:ascii="仿宋_GB2312" w:cs="仿宋_GB2312" w:eastAsia="仿宋_GB2312" w:hAnsi="仿宋_GB2312" w:hint="eastAsia"/>
          <w:sz w:val="32"/>
          <w:szCs w:val="32"/>
        </w:rPr>
        <w:t>采收过程应保证中药材药用部位的完整，防止外源性污染物或者破坏，同时避免产生水土流失、土地沙化等生态环境问题。</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lang w:val="en-US" w:eastAsia="zh-CN"/>
        </w:rPr>
        <w:t>3</w:t>
      </w:r>
      <w:r>
        <w:rPr>
          <w:rFonts w:ascii="仿宋_GB2312" w:cs="仿宋_GB2312" w:eastAsia="仿宋_GB2312" w:hAnsi="仿宋_GB2312" w:hint="eastAsia"/>
          <w:b/>
          <w:bCs/>
          <w:sz w:val="32"/>
          <w:szCs w:val="32"/>
        </w:rPr>
        <w:t>、净选分级。</w:t>
      </w:r>
      <w:r>
        <w:rPr>
          <w:rFonts w:ascii="仿宋_GB2312" w:cs="仿宋_GB2312" w:eastAsia="仿宋_GB2312" w:hAnsi="仿宋_GB2312" w:hint="eastAsia"/>
          <w:sz w:val="32"/>
          <w:szCs w:val="32"/>
        </w:rPr>
        <w:t>将采收后的药材，明确药用部位、非药用部分和异物范围，采用适宜方法去除非药用部位及异物，按不同大小、粗细等进行分级，以便于加工利用。</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lang w:val="en-US" w:eastAsia="zh-CN"/>
        </w:rPr>
        <w:t>4</w:t>
      </w:r>
      <w:r>
        <w:rPr>
          <w:rFonts w:ascii="仿宋_GB2312" w:cs="仿宋_GB2312" w:eastAsia="仿宋_GB2312" w:hAnsi="仿宋_GB2312" w:hint="eastAsia"/>
          <w:b/>
          <w:bCs/>
          <w:sz w:val="32"/>
          <w:szCs w:val="32"/>
        </w:rPr>
        <w:t>、干燥处理。</w:t>
      </w:r>
      <w:r>
        <w:rPr>
          <w:rFonts w:ascii="仿宋_GB2312" w:cs="仿宋_GB2312" w:eastAsia="仿宋_GB2312" w:hAnsi="仿宋_GB2312" w:hint="eastAsia"/>
          <w:sz w:val="32"/>
          <w:szCs w:val="32"/>
        </w:rPr>
        <w:t>干燥处理应在保证药材质量的前提下，借鉴优良的传统方法，确定适宜的干燥方法。采用直接晾晒时，应明确晾晒方法、晾晒时间及注意事项等。采用设施设备进行干燥时，应明确设施设备、温度控制等要求。</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lang w:val="en-US" w:eastAsia="zh-CN"/>
        </w:rPr>
        <w:t>5</w:t>
      </w:r>
      <w:r>
        <w:rPr>
          <w:rFonts w:ascii="仿宋_GB2312" w:cs="仿宋_GB2312" w:eastAsia="仿宋_GB2312" w:hAnsi="仿宋_GB2312" w:hint="eastAsia"/>
          <w:b/>
          <w:bCs/>
          <w:sz w:val="32"/>
          <w:szCs w:val="32"/>
        </w:rPr>
        <w:t>、特殊加工。</w:t>
      </w:r>
      <w:r>
        <w:rPr>
          <w:rFonts w:ascii="仿宋_GB2312" w:cs="仿宋_GB2312" w:eastAsia="仿宋_GB2312" w:hAnsi="仿宋_GB2312" w:hint="eastAsia"/>
          <w:sz w:val="32"/>
          <w:szCs w:val="32"/>
        </w:rPr>
        <w:t>涉及需要蒸、煮、烫、熏等特殊加工要求的中药材，应根据传统加工方式，结合相关标准要求，采用相应的初加工技术，明确加工的时间、流程等要求。中药材初加工过程中，禁止使用有毒、有害物质用于防霉、防腐、防蛀虫，禁止采取硫磺熏蒸的方式加工药材，禁止一切染色增重、漂白、掺杂使假等行为，确保中药材质量。</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（四）全过程管控</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1、投入品管控。</w:t>
      </w:r>
      <w:r>
        <w:rPr>
          <w:rFonts w:ascii="仿宋_GB2312" w:cs="仿宋_GB2312" w:eastAsia="仿宋_GB2312" w:hAnsi="仿宋_GB2312" w:hint="eastAsia"/>
          <w:sz w:val="32"/>
          <w:szCs w:val="32"/>
        </w:rPr>
        <w:t>种植过程中严格农药、肥料等投入品管控，严禁使用对生态环境和人体健康有毒有害的投入品。</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2、种植过程监测。</w:t>
      </w:r>
      <w:r>
        <w:rPr>
          <w:rFonts w:ascii="仿宋_GB2312" w:cs="仿宋_GB2312" w:eastAsia="仿宋_GB2312" w:hAnsi="仿宋_GB2312" w:hint="eastAsia"/>
          <w:sz w:val="32"/>
          <w:szCs w:val="32"/>
        </w:rPr>
        <w:t>在生态种植全过程中，定期对生产安全、种植活动、产品质量、环境影响和生态状况等进行监测和记录。根据监测结果，及时调整种植方案，采取应对措施。</w:t>
      </w:r>
    </w:p>
    <w:p>
      <w:pPr>
        <w:pStyle w:val="style77"/>
        <w:spacing w:after="0" w:lineRule="exact" w:line="600"/>
        <w:ind w:firstLine="643" w:firstLineChars="200"/>
        <w:rPr>
          <w:rFonts w:ascii="仿宋_GB2312" w:cs="仿宋_GB2312" w:eastAsia="仿宋_GB2312" w:hAnsi="仿宋_GB2312" w:hint="eastAsia"/>
          <w:sz w:val="32"/>
          <w:szCs w:val="32"/>
        </w:rPr>
      </w:pPr>
      <w:r>
        <w:rPr>
          <w:rFonts w:ascii="仿宋_GB2312" w:cs="仿宋_GB2312" w:eastAsia="仿宋_GB2312" w:hAnsi="仿宋_GB2312" w:hint="eastAsia"/>
          <w:b/>
          <w:bCs/>
          <w:sz w:val="32"/>
          <w:szCs w:val="32"/>
        </w:rPr>
        <w:t>3、产品质量检测。</w:t>
      </w:r>
      <w:r>
        <w:rPr>
          <w:rFonts w:ascii="仿宋_GB2312" w:cs="仿宋_GB2312" w:eastAsia="仿宋_GB2312" w:hAnsi="仿宋_GB2312" w:hint="eastAsia"/>
          <w:sz w:val="32"/>
          <w:szCs w:val="32"/>
        </w:rPr>
        <w:t>依据《中国药典》相关规定，对产品的质量、药残留成分等检测，保证产品质量达标。</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（五）加强地方标准建设</w:t>
      </w: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鼓励林下中药材生产经营主体申报地方标准，规范种植技术规程，提高产品品质。地方标准的技术要求不得低于强制性国家标准的相关技术要求。</w:t>
      </w:r>
    </w:p>
    <w:p>
      <w:pPr>
        <w:pStyle w:val="style0"/>
        <w:spacing w:lineRule="exact" w:line="600"/>
        <w:ind w:firstLine="640" w:firstLineChars="200"/>
        <w:rPr>
          <w:rFonts w:ascii="楷体" w:cs="楷体" w:eastAsia="楷体" w:hAnsi="楷体" w:hint="eastAsia"/>
          <w:sz w:val="32"/>
          <w:szCs w:val="32"/>
        </w:rPr>
      </w:pPr>
      <w:r>
        <w:rPr>
          <w:rFonts w:ascii="楷体" w:cs="楷体" w:eastAsia="楷体" w:hAnsi="楷体" w:hint="eastAsia"/>
          <w:sz w:val="32"/>
          <w:szCs w:val="32"/>
        </w:rPr>
        <w:t>（六）档案管理与人员培训</w:t>
      </w: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加强档案管理与人员培训，并对林下中药材种植活动相关的台账、文件、图册、音像等资料及时建档管理，明确专人负责、长期保存。</w:t>
      </w: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（七）在符合本指导意见基本要求基础上，林草中药材野生抚育、仿野生栽培、生态种植应当符合中药材生产质量管理规范（GAP）的相关要求。</w:t>
      </w: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（八）各旗县市林业和草原主管部门、</w:t>
      </w:r>
      <w:r>
        <w:rPr>
          <w:rFonts w:ascii="仿宋_GB2312" w:cs="仿宋_GB2312" w:eastAsia="仿宋_GB2312" w:hAnsi="仿宋_GB2312" w:hint="eastAsia"/>
          <w:sz w:val="32"/>
          <w:szCs w:val="32"/>
          <w:lang w:eastAsia="zh-CN"/>
        </w:rPr>
        <w:t>盟农垦集团、五岔沟林业局、白狼林业局</w:t>
      </w:r>
      <w:r>
        <w:rPr>
          <w:rFonts w:ascii="仿宋_GB2312" w:cs="仿宋_GB2312" w:eastAsia="仿宋_GB2312" w:hAnsi="仿宋_GB2312" w:hint="eastAsia"/>
          <w:sz w:val="32"/>
          <w:szCs w:val="32"/>
        </w:rPr>
        <w:t>要本着保护和合理利用森林资源、促进中药材产业稳定健康发展的原则，根据本地资源现状、中药材发展需求，编制利用林业用地发展中药材规划、指导意见、配套措施或技术方案，确定近五年的发展规模，并落实到年度、单位、具体地块。要坚决防止盲目扩大规模，浪费林地资源，冲击中药材产业健康发展，导致“一哄而上、一哄而散”现象的发生。</w:t>
      </w:r>
    </w:p>
    <w:p>
      <w:pPr>
        <w:pStyle w:val="style77"/>
        <w:spacing w:after="0" w:lineRule="exact" w:line="600"/>
        <w:ind w:firstLine="640" w:firstLineChars="2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（九）本</w:t>
      </w:r>
      <w:r>
        <w:rPr>
          <w:rFonts w:ascii="仿宋_GB2312" w:cs="仿宋_GB2312" w:eastAsia="仿宋_GB2312" w:hAnsi="仿宋_GB2312" w:hint="eastAsia"/>
          <w:sz w:val="32"/>
          <w:szCs w:val="32"/>
          <w:lang w:eastAsia="zh-CN"/>
        </w:rPr>
        <w:t>指南</w:t>
      </w:r>
      <w:r>
        <w:rPr>
          <w:rFonts w:ascii="仿宋_GB2312" w:cs="仿宋_GB2312" w:eastAsia="仿宋_GB2312" w:hAnsi="仿宋_GB2312" w:hint="eastAsia"/>
          <w:sz w:val="32"/>
          <w:szCs w:val="32"/>
        </w:rPr>
        <w:t>自印发之日起生效，试行期一年。</w:t>
      </w:r>
    </w:p>
    <w:p>
      <w:pPr>
        <w:pStyle w:val="style77"/>
        <w:spacing w:after="0" w:lineRule="exact" w:line="600"/>
        <w:ind w:left="0" w:leftChars="0" w:firstLine="0" w:firstLineChars="0"/>
        <w:rPr>
          <w:rFonts w:ascii="仿宋_GB2312" w:cs="仿宋_GB2312" w:eastAsia="仿宋_GB2312" w:hAnsi="仿宋_GB2312" w:hint="eastAsia"/>
          <w:sz w:val="32"/>
          <w:szCs w:val="32"/>
        </w:rPr>
      </w:pPr>
    </w:p>
    <w:p>
      <w:pPr>
        <w:pStyle w:val="style77"/>
        <w:spacing w:after="0" w:lineRule="exact" w:line="600"/>
        <w:ind w:left="0" w:leftChars="0" w:firstLine="0" w:firstLineChars="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附件：1.兴安盟中药材分布示意图</w:t>
      </w:r>
    </w:p>
    <w:p>
      <w:pPr>
        <w:pStyle w:val="style77"/>
        <w:spacing w:after="0" w:lineRule="exact" w:line="600"/>
        <w:ind w:firstLine="960" w:firstLineChars="3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2.兴安盟现有林下中草药种植情况统计表</w:t>
      </w:r>
    </w:p>
    <w:p>
      <w:pPr>
        <w:pStyle w:val="style77"/>
        <w:spacing w:after="0" w:lineRule="exact" w:line="600"/>
        <w:ind w:firstLine="960" w:firstLineChars="300"/>
        <w:rPr>
          <w:rFonts w:ascii="仿宋_GB2312" w:cs="仿宋_GB2312" w:eastAsia="仿宋_GB2312" w:hAnsi="仿宋_GB2312" w:hint="eastAsia"/>
          <w:sz w:val="32"/>
          <w:szCs w:val="32"/>
        </w:rPr>
      </w:pPr>
      <w:r>
        <w:rPr>
          <w:rFonts w:ascii="仿宋_GB2312" w:cs="仿宋_GB2312" w:eastAsia="仿宋_GB2312" w:hAnsi="仿宋_GB2312" w:hint="eastAsia"/>
          <w:sz w:val="32"/>
          <w:szCs w:val="32"/>
        </w:rPr>
        <w:t>3.国有林场范围内可利用林地面积统计表</w:t>
      </w:r>
    </w:p>
    <w:p>
      <w:pPr>
        <w:pStyle w:val="style77"/>
        <w:spacing w:after="0" w:lineRule="exact" w:line="600"/>
        <w:ind w:firstLine="960" w:firstLineChars="300"/>
        <w:rPr>
          <w:rFonts w:ascii="仿宋_GB2312" w:cs="仿宋_GB2312" w:eastAsia="仿宋_GB2312" w:hAnsi="仿宋_GB2312"/>
          <w:sz w:val="36"/>
          <w:szCs w:val="36"/>
        </w:rPr>
      </w:pPr>
      <w:r>
        <w:rPr>
          <w:rFonts w:ascii="仿宋_GB2312" w:cs="仿宋_GB2312" w:eastAsia="仿宋_GB2312" w:hAnsi="仿宋_GB2312" w:hint="eastAsia"/>
          <w:sz w:val="32"/>
          <w:szCs w:val="32"/>
        </w:rPr>
        <w:t>4.各旗县市可发展林下经营活动统计表</w:t>
      </w:r>
    </w:p>
    <w:p>
      <w:pPr>
        <w:pStyle w:val="style77"/>
        <w:spacing w:lineRule="exact" w:line="460"/>
        <w:ind w:firstLine="0" w:firstLineChars="0"/>
        <w:rPr>
          <w:rFonts w:ascii="仿宋_GB2312" w:cs="仿宋_GB2312" w:eastAsia="仿宋_GB2312" w:hAnsi="仿宋_GB2312"/>
          <w:sz w:val="36"/>
          <w:szCs w:val="36"/>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hint="eastAsia"/>
          <w:sz w:val="32"/>
          <w:szCs w:val="32"/>
        </w:rPr>
      </w:pPr>
    </w:p>
    <w:p>
      <w:pPr>
        <w:pStyle w:val="style77"/>
        <w:spacing w:lineRule="exact" w:line="460"/>
        <w:ind w:firstLine="0" w:firstLineChars="0"/>
        <w:rPr>
          <w:rFonts w:ascii="黑体" w:cs="黑体" w:eastAsia="黑体" w:hAnsi="黑体"/>
          <w:sz w:val="32"/>
          <w:szCs w:val="32"/>
        </w:rPr>
      </w:pPr>
      <w:r>
        <w:rPr>
          <w:rFonts w:ascii="黑体" w:cs="黑体" w:eastAsia="黑体" w:hAnsi="黑体" w:hint="eastAsia"/>
          <w:sz w:val="32"/>
          <w:szCs w:val="32"/>
        </w:rPr>
        <w:t>附件1</w:t>
      </w:r>
    </w:p>
    <w:bookmarkStart w:id="0" w:name="_GoBack"/>
    <w:p>
      <w:pPr>
        <w:pStyle w:val="style32"/>
        <w:autoSpaceDE w:val="false"/>
        <w:spacing w:lineRule="exact" w:line="560"/>
        <w:jc w:val="both"/>
        <w:rPr>
          <w:rFonts w:ascii="黑体" w:eastAsia="黑体" w:hAnsi="黑体"/>
          <w:sz w:val="30"/>
          <w:szCs w:val="30"/>
        </w:rPr>
      </w:pPr>
      <w:r>
        <w:rPr>
          <w:rFonts w:ascii="黑体" w:eastAsia="黑体" w:hAnsi="黑体" w:hint="eastAsia"/>
          <w:sz w:val="30"/>
          <w:szCs w:val="30"/>
        </w:rPr>
        <w:drawing>
          <wp:anchor distT="0" distB="0" distL="0" distR="0" simplePos="false" relativeHeight="2" behindDoc="false" locked="false" layoutInCell="true" allowOverlap="true">
            <wp:simplePos x="0" y="0"/>
            <wp:positionH relativeFrom="column">
              <wp:posOffset>-6350</wp:posOffset>
            </wp:positionH>
            <wp:positionV relativeFrom="paragraph">
              <wp:posOffset>177165</wp:posOffset>
            </wp:positionV>
            <wp:extent cx="5739130" cy="8117840"/>
            <wp:effectExtent l="0" t="0" r="13970" b="16510"/>
            <wp:wrapNone/>
            <wp:docPr id="1026" name="图片 2" descr="C:\Users\yzq88\Desktop\兴安盟中草药分区示意图.jpg兴安盟中草药分区示意图"/>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2" cstate="print"/>
                    <a:srcRect l="0" t="0" r="0" b="0"/>
                    <a:stretch/>
                  </pic:blipFill>
                  <pic:spPr>
                    <a:xfrm rot="0">
                      <a:off x="0" y="0"/>
                      <a:ext cx="5739130" cy="8117840"/>
                    </a:xfrm>
                    <a:prstGeom prst="rect"/>
                  </pic:spPr>
                </pic:pic>
              </a:graphicData>
            </a:graphic>
          </wp:anchor>
        </w:drawing>
      </w:r>
      <w:bookmarkEnd w:id="0"/>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p>
    <w:p>
      <w:pPr>
        <w:pStyle w:val="style32"/>
        <w:autoSpaceDE w:val="false"/>
        <w:spacing w:lineRule="exact" w:line="560"/>
        <w:jc w:val="both"/>
        <w:rPr>
          <w:rFonts w:ascii="黑体" w:eastAsia="黑体" w:hAnsi="黑体"/>
          <w:sz w:val="30"/>
          <w:szCs w:val="30"/>
        </w:rPr>
      </w:pPr>
      <w:r>
        <w:rPr>
          <w:rFonts w:ascii="黑体" w:eastAsia="黑体" w:hAnsi="黑体" w:hint="eastAsia"/>
          <w:sz w:val="30"/>
          <w:szCs w:val="30"/>
        </w:rPr>
        <w:t>附件2</w:t>
      </w:r>
    </w:p>
    <w:p>
      <w:pPr>
        <w:pStyle w:val="style32"/>
        <w:autoSpaceDE w:val="false"/>
        <w:spacing w:lineRule="exact" w:line="560"/>
        <w:jc w:val="center"/>
        <w:rPr>
          <w:rFonts w:ascii="方正小标宋简体" w:cs="方正小标宋简体" w:eastAsia="方正小标宋简体" w:hAnsi="方正小标宋简体"/>
          <w:sz w:val="36"/>
          <w:szCs w:val="36"/>
        </w:rPr>
      </w:pPr>
      <w:r>
        <w:rPr>
          <w:rFonts w:ascii="方正小标宋简体" w:cs="方正小标宋简体" w:eastAsia="方正小标宋简体" w:hAnsi="方正小标宋简体" w:hint="eastAsia"/>
          <w:sz w:val="36"/>
          <w:szCs w:val="36"/>
        </w:rPr>
        <w:t>兴安盟现有林下中草药种植情况统计表</w:t>
      </w:r>
    </w:p>
    <w:tbl>
      <w:tblPr>
        <w:tblStyle w:val="style105"/>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83"/>
        <w:gridCol w:w="2438"/>
        <w:gridCol w:w="3338"/>
        <w:gridCol w:w="1979"/>
      </w:tblGrid>
      <w:tr>
        <w:trPr>
          <w:trHeight w:val="779" w:hRule="atLeast"/>
          <w:jc w:val="center"/>
        </w:trPr>
        <w:tc>
          <w:tcPr>
            <w:tcW w:w="1883"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b/>
                <w:bCs/>
                <w:sz w:val="24"/>
                <w:szCs w:val="24"/>
              </w:rPr>
            </w:pPr>
            <w:r>
              <w:rPr>
                <w:rFonts w:hint="eastAsia"/>
                <w:b/>
                <w:bCs/>
                <w:sz w:val="24"/>
                <w:szCs w:val="24"/>
              </w:rPr>
              <w:t>地区</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b/>
                <w:bCs/>
                <w:sz w:val="24"/>
                <w:szCs w:val="24"/>
              </w:rPr>
            </w:pPr>
            <w:r>
              <w:rPr>
                <w:rFonts w:ascii="宋体" w:hAnsi="宋体"/>
                <w:b/>
                <w:bCs/>
                <w:sz w:val="24"/>
                <w:szCs w:val="24"/>
              </w:rPr>
              <w:t>种植单位</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b/>
                <w:bCs/>
                <w:sz w:val="24"/>
                <w:szCs w:val="24"/>
              </w:rPr>
            </w:pPr>
            <w:r>
              <w:rPr>
                <w:rFonts w:ascii="宋体" w:hAnsi="宋体"/>
                <w:b/>
                <w:bCs/>
                <w:sz w:val="24"/>
                <w:szCs w:val="24"/>
              </w:rPr>
              <w:t>种植品种</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b/>
                <w:bCs/>
                <w:sz w:val="24"/>
                <w:szCs w:val="24"/>
              </w:rPr>
            </w:pPr>
            <w:r>
              <w:rPr>
                <w:b/>
                <w:bCs/>
                <w:sz w:val="24"/>
                <w:szCs w:val="24"/>
              </w:rPr>
              <w:t>2021</w:t>
            </w:r>
            <w:r>
              <w:rPr>
                <w:rFonts w:ascii="宋体" w:hAnsi="宋体"/>
                <w:b/>
                <w:bCs/>
                <w:sz w:val="24"/>
                <w:szCs w:val="24"/>
              </w:rPr>
              <w:t>年</w:t>
            </w:r>
          </w:p>
          <w:p>
            <w:pPr>
              <w:pStyle w:val="style0"/>
              <w:widowControl/>
              <w:jc w:val="center"/>
              <w:rPr>
                <w:b/>
                <w:bCs/>
                <w:sz w:val="24"/>
                <w:szCs w:val="24"/>
              </w:rPr>
            </w:pPr>
            <w:r>
              <w:rPr>
                <w:rFonts w:ascii="宋体" w:hAnsi="宋体"/>
                <w:b/>
                <w:bCs/>
                <w:sz w:val="24"/>
                <w:szCs w:val="24"/>
              </w:rPr>
              <w:t>栽植面积</w:t>
            </w:r>
            <w:r>
              <w:rPr>
                <w:rFonts w:ascii="宋体" w:hAnsi="宋体" w:hint="eastAsia"/>
                <w:b/>
                <w:bCs/>
                <w:sz w:val="24"/>
                <w:szCs w:val="24"/>
              </w:rPr>
              <w:t>（亩）</w:t>
            </w:r>
          </w:p>
        </w:tc>
      </w:tr>
      <w:tr>
        <w:tblPrEx/>
        <w:trPr>
          <w:trHeight w:val="515" w:hRule="atLeast"/>
          <w:jc w:val="center"/>
        </w:trPr>
        <w:tc>
          <w:tcPr>
            <w:tcW w:w="1883"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24"/>
                <w:szCs w:val="24"/>
              </w:rPr>
            </w:pPr>
            <w:r>
              <w:rPr>
                <w:rFonts w:ascii="宋体" w:hAnsi="宋体"/>
                <w:sz w:val="24"/>
                <w:szCs w:val="24"/>
              </w:rPr>
              <w:t>兴安盟</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黑体" w:cs="黑体" w:eastAsia="黑体" w:hAnsi="黑体" w:hint="eastAsia"/>
                <w:b/>
                <w:bCs/>
                <w:sz w:val="24"/>
                <w:szCs w:val="24"/>
              </w:rPr>
              <w:t>87570</w:t>
            </w:r>
          </w:p>
        </w:tc>
      </w:tr>
      <w:tr>
        <w:tblPrEx/>
        <w:trPr>
          <w:trHeight w:val="452" w:hRule="atLeast"/>
          <w:jc w:val="center"/>
        </w:trPr>
        <w:tc>
          <w:tcPr>
            <w:tcW w:w="1883" w:type="dxa"/>
            <w:vMerge w:val="restart"/>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r>
              <w:rPr>
                <w:rFonts w:ascii="宋体" w:hAnsi="宋体"/>
                <w:sz w:val="24"/>
                <w:szCs w:val="24"/>
              </w:rPr>
              <w:t>突泉县</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b/>
                <w:bCs/>
                <w:sz w:val="24"/>
                <w:szCs w:val="24"/>
              </w:rPr>
              <w:t>11300</w:t>
            </w:r>
          </w:p>
        </w:tc>
      </w:tr>
      <w:tr>
        <w:tblPrEx/>
        <w:trPr>
          <w:trHeight w:val="309"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东风林场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柴胡</w:t>
            </w:r>
            <w:r>
              <w:rPr>
                <w:sz w:val="18"/>
                <w:szCs w:val="18"/>
              </w:rPr>
              <w:t xml:space="preserve">  板蓝根 射干</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5000</w:t>
            </w:r>
          </w:p>
        </w:tc>
      </w:tr>
      <w:tr>
        <w:tblPrEx/>
        <w:trPr>
          <w:trHeight w:val="376"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太本林场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柴胡</w:t>
            </w:r>
            <w:r>
              <w:rPr>
                <w:sz w:val="18"/>
                <w:szCs w:val="18"/>
              </w:rPr>
              <w:t xml:space="preserve">  板蓝根 射干</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6300</w:t>
            </w:r>
          </w:p>
        </w:tc>
      </w:tr>
      <w:tr>
        <w:tblPrEx/>
        <w:trPr>
          <w:trHeight w:val="567" w:hRule="atLeast"/>
          <w:jc w:val="center"/>
        </w:trPr>
        <w:tc>
          <w:tcPr>
            <w:tcW w:w="1883" w:type="dxa"/>
            <w:vMerge w:val="restart"/>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r>
              <w:rPr>
                <w:rFonts w:ascii="宋体" w:hAnsi="宋体"/>
                <w:sz w:val="24"/>
                <w:szCs w:val="24"/>
              </w:rPr>
              <w:t>科右前旗</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黑体" w:cs="黑体" w:eastAsia="黑体" w:hAnsi="黑体" w:hint="eastAsia"/>
                <w:b/>
                <w:bCs/>
                <w:sz w:val="24"/>
                <w:szCs w:val="24"/>
              </w:rPr>
              <w:t>48000</w:t>
            </w:r>
          </w:p>
        </w:tc>
      </w:tr>
      <w:tr>
        <w:tblPrEx/>
        <w:trPr>
          <w:trHeight w:val="402"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巴日嘎斯台乡</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7000</w:t>
            </w:r>
          </w:p>
        </w:tc>
      </w:tr>
      <w:tr>
        <w:tblPrEx/>
        <w:trPr>
          <w:trHeight w:val="376"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科尔沁镇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10000</w:t>
            </w:r>
          </w:p>
        </w:tc>
      </w:tr>
      <w:tr>
        <w:tblPrEx/>
        <w:trPr>
          <w:trHeight w:val="396"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居力很镇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1000</w:t>
            </w:r>
          </w:p>
        </w:tc>
      </w:tr>
      <w:tr>
        <w:tblPrEx/>
        <w:trPr>
          <w:trHeight w:val="358"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大石寨镇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3000</w:t>
            </w:r>
          </w:p>
        </w:tc>
      </w:tr>
      <w:tr>
        <w:tblPrEx/>
        <w:trPr>
          <w:trHeight w:val="458"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额尔格图林场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7100</w:t>
            </w:r>
          </w:p>
        </w:tc>
      </w:tr>
      <w:tr>
        <w:tblPrEx/>
        <w:trPr>
          <w:trHeight w:val="150"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俄体镇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1000</w:t>
            </w:r>
          </w:p>
        </w:tc>
      </w:tr>
      <w:tr>
        <w:tblPrEx/>
        <w:trPr>
          <w:trHeight w:val="294"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察尔森林场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5600</w:t>
            </w:r>
          </w:p>
        </w:tc>
      </w:tr>
      <w:tr>
        <w:tblPrEx/>
        <w:trPr>
          <w:trHeight w:val="390"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额尔格图镇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5000</w:t>
            </w:r>
          </w:p>
        </w:tc>
      </w:tr>
      <w:tr>
        <w:tblPrEx/>
        <w:trPr>
          <w:trHeight w:val="270"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索伦镇</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300</w:t>
            </w:r>
          </w:p>
        </w:tc>
      </w:tr>
      <w:tr>
        <w:tblPrEx/>
        <w:trPr>
          <w:trHeight w:val="272"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海力森林场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黄芩、桔梗、防风、赤芍、苍术等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8000</w:t>
            </w:r>
          </w:p>
        </w:tc>
      </w:tr>
      <w:tr>
        <w:tblPrEx/>
        <w:trPr>
          <w:trHeight w:val="446" w:hRule="atLeast"/>
          <w:jc w:val="center"/>
        </w:trPr>
        <w:tc>
          <w:tcPr>
            <w:tcW w:w="1883" w:type="dxa"/>
            <w:vMerge w:val="restart"/>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r>
              <w:rPr>
                <w:rFonts w:ascii="宋体" w:hAnsi="宋体"/>
                <w:sz w:val="24"/>
                <w:szCs w:val="24"/>
              </w:rPr>
              <w:t>扎赉特旗</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rFonts w:ascii="仿宋" w:cs="仿宋" w:eastAsia="仿宋" w:hAnsi="仿宋"/>
                <w:sz w:val="24"/>
                <w:szCs w:val="24"/>
              </w:rPr>
            </w:pPr>
            <w:r>
              <w:rPr>
                <w:rFonts w:ascii="黑体" w:cs="黑体" w:eastAsia="黑体" w:hAnsi="黑体" w:hint="eastAsia"/>
                <w:b/>
                <w:bCs/>
                <w:sz w:val="24"/>
                <w:szCs w:val="24"/>
              </w:rPr>
              <w:t>2500</w:t>
            </w:r>
          </w:p>
        </w:tc>
      </w:tr>
      <w:tr>
        <w:tblPrEx/>
        <w:trPr>
          <w:trHeight w:val="694"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sz w:val="18"/>
                <w:szCs w:val="18"/>
              </w:rPr>
            </w:pPr>
            <w:r>
              <w:rPr>
                <w:rStyle w:val="style4097"/>
                <w:rFonts w:ascii="宋体" w:hAnsi="宋体"/>
                <w:kern w:val="0"/>
                <w:sz w:val="18"/>
                <w:szCs w:val="18"/>
              </w:rPr>
              <w:t>内蒙古大岭中药材种植有限公司</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sz w:val="18"/>
                <w:szCs w:val="18"/>
              </w:rPr>
            </w:pPr>
            <w:r>
              <w:rPr>
                <w:rStyle w:val="style4097"/>
                <w:rFonts w:ascii="宋体" w:hAnsi="宋体"/>
                <w:kern w:val="0"/>
                <w:sz w:val="18"/>
                <w:szCs w:val="18"/>
              </w:rPr>
              <w:t>黄芩</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rFonts w:ascii="仿宋" w:cs="仿宋" w:eastAsia="仿宋" w:hAnsi="仿宋"/>
                <w:sz w:val="24"/>
                <w:szCs w:val="24"/>
              </w:rPr>
            </w:pPr>
            <w:r>
              <w:rPr>
                <w:rFonts w:ascii="仿宋" w:cs="仿宋" w:eastAsia="仿宋" w:hAnsi="仿宋" w:hint="eastAsia"/>
                <w:sz w:val="24"/>
                <w:szCs w:val="24"/>
              </w:rPr>
              <w:t>1000</w:t>
            </w:r>
          </w:p>
        </w:tc>
      </w:tr>
      <w:tr>
        <w:tblPrEx/>
        <w:trPr>
          <w:trHeight w:val="429" w:hRule="atLeast"/>
          <w:jc w:val="center"/>
        </w:trPr>
        <w:tc>
          <w:tcPr>
            <w:tcW w:w="1883" w:type="dxa"/>
            <w:vMerge w:val="continue"/>
            <w:tcBorders>
              <w:top w:val="nil"/>
              <w:left w:val="single" w:sz="4" w:space="0" w:color="auto"/>
              <w:bottom w:val="single" w:sz="4" w:space="0" w:color="auto"/>
              <w:right w:val="single" w:sz="4" w:space="0" w:color="auto"/>
            </w:tcBorders>
            <w:vAlign w:val="center"/>
          </w:tcPr>
          <w:p>
            <w:pPr>
              <w:pStyle w:val="style0"/>
              <w:widowControl/>
              <w:jc w:val="center"/>
              <w:rPr>
                <w:sz w:val="24"/>
                <w:szCs w:val="24"/>
              </w:rPr>
            </w:pPr>
          </w:p>
        </w:tc>
        <w:tc>
          <w:tcPr>
            <w:tcW w:w="2438" w:type="dxa"/>
            <w:tcBorders>
              <w:top w:val="nil"/>
              <w:left w:val="single" w:sz="4" w:space="0" w:color="auto"/>
              <w:right w:val="single" w:sz="4" w:space="0" w:color="auto"/>
            </w:tcBorders>
            <w:vAlign w:val="center"/>
          </w:tcPr>
          <w:p>
            <w:pPr>
              <w:pStyle w:val="style0"/>
              <w:widowControl/>
              <w:ind w:firstLine="420" w:firstLineChars="200"/>
              <w:jc w:val="center"/>
              <w:rPr/>
            </w:pPr>
            <w:r>
              <w:rPr>
                <w:rFonts w:hint="eastAsia"/>
              </w:rPr>
              <w:t>中心林场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sz w:val="18"/>
                <w:szCs w:val="18"/>
              </w:rPr>
            </w:pPr>
            <w:r>
              <w:rPr>
                <w:rStyle w:val="style4097"/>
                <w:rFonts w:ascii="宋体" w:hAnsi="宋体"/>
                <w:kern w:val="0"/>
                <w:sz w:val="18"/>
                <w:szCs w:val="18"/>
              </w:rPr>
              <w:t>板蓝根</w:t>
            </w:r>
            <w:r>
              <w:rPr>
                <w:rStyle w:val="style4097"/>
                <w:kern w:val="0"/>
                <w:sz w:val="18"/>
                <w:szCs w:val="18"/>
              </w:rPr>
              <w:t xml:space="preserve">  </w:t>
            </w:r>
            <w:r>
              <w:rPr>
                <w:rStyle w:val="style4097"/>
                <w:rFonts w:hint="eastAsia"/>
                <w:kern w:val="0"/>
                <w:sz w:val="18"/>
                <w:szCs w:val="18"/>
              </w:rPr>
              <w:t>、芍药</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textAlignment w:val="baseline"/>
              <w:rPr>
                <w:rFonts w:ascii="仿宋" w:cs="仿宋" w:eastAsia="仿宋" w:hAnsi="仿宋"/>
                <w:sz w:val="24"/>
                <w:szCs w:val="24"/>
              </w:rPr>
            </w:pPr>
            <w:r>
              <w:rPr>
                <w:rStyle w:val="style4097"/>
                <w:rFonts w:ascii="仿宋" w:cs="仿宋" w:eastAsia="仿宋" w:hAnsi="仿宋" w:hint="eastAsia"/>
                <w:kern w:val="0"/>
                <w:sz w:val="24"/>
                <w:szCs w:val="24"/>
              </w:rPr>
              <w:t>1500</w:t>
            </w:r>
          </w:p>
        </w:tc>
      </w:tr>
      <w:tr>
        <w:tblPrEx/>
        <w:trPr>
          <w:trHeight w:val="473" w:hRule="atLeast"/>
          <w:jc w:val="center"/>
        </w:trPr>
        <w:tc>
          <w:tcPr>
            <w:tcW w:w="1883"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24"/>
                <w:szCs w:val="24"/>
              </w:rPr>
            </w:pPr>
            <w:r>
              <w:rPr>
                <w:rFonts w:ascii="宋体" w:hAnsi="宋体"/>
                <w:sz w:val="24"/>
                <w:szCs w:val="24"/>
              </w:rPr>
              <w:t>阿尔山市</w:t>
            </w: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杜拉尔林场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返魂草</w:t>
            </w:r>
            <w:r>
              <w:rPr>
                <w:sz w:val="18"/>
                <w:szCs w:val="18"/>
              </w:rPr>
              <w:t xml:space="preserve"> 、赤芍</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黑体" w:cs="黑体" w:eastAsia="黑体" w:hAnsi="黑体" w:hint="eastAsia"/>
                <w:b/>
                <w:bCs/>
                <w:sz w:val="24"/>
                <w:szCs w:val="24"/>
              </w:rPr>
              <w:t>1120</w:t>
            </w:r>
          </w:p>
        </w:tc>
      </w:tr>
      <w:tr>
        <w:tblPrEx/>
        <w:trPr>
          <w:trHeight w:val="439" w:hRule="atLeast"/>
          <w:jc w:val="center"/>
        </w:trPr>
        <w:tc>
          <w:tcPr>
            <w:tcW w:w="1883" w:type="dxa"/>
            <w:vMerge w:val="restart"/>
            <w:tcBorders>
              <w:top w:val="single" w:sz="4" w:space="0" w:color="auto"/>
              <w:left w:val="single" w:sz="4" w:space="0" w:color="auto"/>
              <w:right w:val="single" w:sz="4" w:space="0" w:color="auto"/>
            </w:tcBorders>
            <w:vAlign w:val="center"/>
          </w:tcPr>
          <w:p>
            <w:pPr>
              <w:pStyle w:val="style0"/>
              <w:widowControl/>
              <w:jc w:val="center"/>
              <w:rPr>
                <w:rFonts w:ascii="宋体" w:hAnsi="宋体"/>
                <w:sz w:val="24"/>
                <w:szCs w:val="24"/>
              </w:rPr>
            </w:pPr>
            <w:r>
              <w:rPr>
                <w:rFonts w:ascii="宋体" w:hAnsi="宋体"/>
                <w:sz w:val="24"/>
                <w:szCs w:val="24"/>
              </w:rPr>
              <w:t>乌兰浩特市</w:t>
            </w:r>
          </w:p>
          <w:p>
            <w:pPr>
              <w:pStyle w:val="style0"/>
              <w:widowControl/>
              <w:jc w:val="center"/>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tcPr>
          <w:p>
            <w:pPr>
              <w:pStyle w:val="style32"/>
              <w:ind w:firstLine="720" w:firstLineChars="400"/>
              <w:jc w:val="center"/>
              <w:rPr/>
            </w:pP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黑体" w:cs="黑体" w:eastAsia="黑体" w:hAnsi="黑体" w:hint="eastAsia"/>
                <w:b/>
                <w:bCs/>
                <w:sz w:val="24"/>
                <w:szCs w:val="24"/>
              </w:rPr>
              <w:t>24650</w:t>
            </w:r>
          </w:p>
        </w:tc>
      </w:tr>
      <w:tr>
        <w:tblPrEx/>
        <w:trPr>
          <w:trHeight w:val="424" w:hRule="atLeast"/>
          <w:jc w:val="center"/>
        </w:trPr>
        <w:tc>
          <w:tcPr>
            <w:tcW w:w="1883" w:type="dxa"/>
            <w:vMerge w:val="continue"/>
            <w:tcBorders>
              <w:left w:val="single" w:sz="4" w:space="0" w:color="auto"/>
              <w:right w:val="single" w:sz="4" w:space="0" w:color="auto"/>
            </w:tcBorders>
            <w:vAlign w:val="center"/>
          </w:tcPr>
          <w:p>
            <w:pPr>
              <w:pStyle w:val="style0"/>
              <w:widowControl/>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白音花林场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32"/>
              <w:ind w:firstLine="720" w:firstLineChars="400"/>
              <w:jc w:val="center"/>
              <w:rPr/>
            </w:pPr>
            <w:r>
              <w:rPr>
                <w:rFonts w:ascii="宋体" w:hAnsi="宋体"/>
                <w:szCs w:val="18"/>
              </w:rPr>
              <w:t>月见草、地肤子</w:t>
            </w:r>
            <w:r>
              <w:rPr>
                <w:rFonts w:ascii="宋体" w:hAnsi="宋体" w:hint="eastAsia"/>
                <w:szCs w:val="18"/>
              </w:rPr>
              <w:t>、苏子</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2000</w:t>
            </w:r>
          </w:p>
        </w:tc>
      </w:tr>
      <w:tr>
        <w:tblPrEx/>
        <w:trPr>
          <w:trHeight w:val="999" w:hRule="atLeast"/>
          <w:jc w:val="center"/>
        </w:trPr>
        <w:tc>
          <w:tcPr>
            <w:tcW w:w="1883" w:type="dxa"/>
            <w:vMerge w:val="continue"/>
            <w:tcBorders>
              <w:left w:val="single" w:sz="4" w:space="0" w:color="auto"/>
              <w:right w:val="single" w:sz="4" w:space="0" w:color="auto"/>
            </w:tcBorders>
            <w:vAlign w:val="center"/>
          </w:tcPr>
          <w:p>
            <w:pPr>
              <w:pStyle w:val="style0"/>
              <w:widowControl/>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胜利林场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rPr>
            </w:pPr>
            <w:r>
              <w:rPr>
                <w:rFonts w:ascii="宋体" w:hAnsi="宋体"/>
                <w:sz w:val="18"/>
                <w:szCs w:val="18"/>
              </w:rPr>
              <w:t>板蓝根</w:t>
            </w:r>
            <w:r>
              <w:rPr>
                <w:rFonts w:ascii="宋体" w:hAnsi="宋体" w:hint="eastAsia"/>
                <w:sz w:val="18"/>
                <w:szCs w:val="18"/>
              </w:rPr>
              <w:t>、</w:t>
            </w:r>
            <w:r>
              <w:rPr>
                <w:rFonts w:ascii="宋体" w:hAnsi="宋体"/>
              </w:rPr>
              <w:t>桔梗、</w:t>
            </w:r>
            <w:r>
              <w:rPr>
                <w:rFonts w:ascii="宋体" w:hAnsi="宋体" w:hint="eastAsia"/>
              </w:rPr>
              <w:t>苏子、</w:t>
            </w:r>
            <w:r>
              <w:rPr>
                <w:rFonts w:ascii="宋体" w:hAnsi="宋体"/>
              </w:rPr>
              <w:t>防风、苦参等</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21650</w:t>
            </w:r>
          </w:p>
        </w:tc>
      </w:tr>
      <w:tr>
        <w:tblPrEx/>
        <w:trPr>
          <w:trHeight w:val="579" w:hRule="atLeast"/>
          <w:jc w:val="center"/>
        </w:trPr>
        <w:tc>
          <w:tcPr>
            <w:tcW w:w="1883" w:type="dxa"/>
            <w:vMerge w:val="continue"/>
            <w:tcBorders>
              <w:left w:val="single" w:sz="4" w:space="0" w:color="auto"/>
              <w:bottom w:val="single" w:sz="4" w:space="0" w:color="auto"/>
              <w:right w:val="single" w:sz="4" w:space="0" w:color="auto"/>
            </w:tcBorders>
            <w:vAlign w:val="center"/>
          </w:tcPr>
          <w:p>
            <w:pPr>
              <w:pStyle w:val="style0"/>
              <w:widowControl/>
              <w:rPr>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szCs w:val="18"/>
              </w:rPr>
            </w:pPr>
            <w:r>
              <w:rPr>
                <w:rFonts w:ascii="宋体" w:hAnsi="宋体"/>
                <w:sz w:val="18"/>
                <w:szCs w:val="18"/>
              </w:rPr>
              <w:t>乌兰哈达林场</w:t>
            </w:r>
          </w:p>
        </w:tc>
        <w:tc>
          <w:tcPr>
            <w:tcW w:w="3338"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sz w:val="18"/>
              </w:rPr>
            </w:pPr>
            <w:r>
              <w:rPr>
                <w:rFonts w:ascii="宋体" w:hAnsi="宋体"/>
                <w:sz w:val="18"/>
                <w:szCs w:val="18"/>
              </w:rPr>
              <w:t>板蓝根</w:t>
            </w:r>
            <w:r>
              <w:rPr>
                <w:rFonts w:ascii="宋体" w:hAnsi="宋体" w:hint="eastAsia"/>
                <w:sz w:val="18"/>
                <w:szCs w:val="18"/>
              </w:rPr>
              <w:t>、</w:t>
            </w:r>
            <w:r>
              <w:rPr>
                <w:rFonts w:ascii="宋体" w:hAnsi="宋体"/>
              </w:rPr>
              <w:t>桔梗、防风、</w:t>
            </w:r>
            <w:r>
              <w:rPr>
                <w:rFonts w:ascii="宋体" w:hAnsi="宋体" w:hint="eastAsia"/>
              </w:rPr>
              <w:t>赤芍</w:t>
            </w:r>
          </w:p>
        </w:tc>
        <w:tc>
          <w:tcPr>
            <w:tcW w:w="1979" w:type="dxa"/>
            <w:tcBorders>
              <w:top w:val="single" w:sz="4" w:space="0" w:color="auto"/>
              <w:left w:val="single" w:sz="4" w:space="0" w:color="auto"/>
              <w:bottom w:val="single" w:sz="4" w:space="0" w:color="auto"/>
              <w:right w:val="single" w:sz="4" w:space="0" w:color="auto"/>
            </w:tcBorders>
            <w:vAlign w:val="center"/>
          </w:tcPr>
          <w:p>
            <w:pPr>
              <w:pStyle w:val="style0"/>
              <w:widowControl/>
              <w:jc w:val="center"/>
              <w:rPr>
                <w:rFonts w:ascii="仿宋" w:cs="仿宋" w:eastAsia="仿宋" w:hAnsi="仿宋"/>
                <w:sz w:val="24"/>
                <w:szCs w:val="24"/>
              </w:rPr>
            </w:pPr>
            <w:r>
              <w:rPr>
                <w:rFonts w:ascii="仿宋" w:cs="仿宋" w:eastAsia="仿宋" w:hAnsi="仿宋" w:hint="eastAsia"/>
                <w:sz w:val="24"/>
                <w:szCs w:val="24"/>
              </w:rPr>
              <w:t>1000</w:t>
            </w:r>
          </w:p>
        </w:tc>
      </w:tr>
    </w:tbl>
    <w:p>
      <w:pPr>
        <w:pStyle w:val="style32"/>
        <w:autoSpaceDE w:val="false"/>
        <w:spacing w:lineRule="exact" w:line="560"/>
        <w:jc w:val="both"/>
        <w:rPr>
          <w:rFonts w:ascii="黑体" w:eastAsia="黑体" w:hAnsi="黑体"/>
          <w:sz w:val="32"/>
          <w:szCs w:val="32"/>
        </w:rPr>
      </w:pPr>
    </w:p>
    <w:p>
      <w:pPr>
        <w:pStyle w:val="style77"/>
        <w:spacing w:lineRule="exact" w:line="460"/>
        <w:ind w:firstLine="0" w:firstLineChars="0"/>
        <w:rPr>
          <w:rFonts w:ascii="仿宋_GB2312" w:cs="仿宋_GB2312" w:eastAsia="仿宋_GB2312" w:hAnsi="仿宋_GB2312"/>
          <w:sz w:val="36"/>
          <w:szCs w:val="36"/>
        </w:rPr>
      </w:pPr>
    </w:p>
    <w:p>
      <w:pPr>
        <w:pStyle w:val="style77"/>
        <w:spacing w:lineRule="exact" w:line="460"/>
        <w:ind w:firstLine="0" w:firstLineChars="0"/>
        <w:rPr>
          <w:rFonts w:ascii="黑体" w:cs="黑体" w:eastAsia="黑体" w:hAnsi="黑体"/>
          <w:sz w:val="32"/>
          <w:szCs w:val="32"/>
        </w:rPr>
      </w:pPr>
      <w:r>
        <w:rPr>
          <w:rFonts w:ascii="黑体" w:cs="黑体" w:eastAsia="黑体" w:hAnsi="黑体" w:hint="eastAsia"/>
          <w:sz w:val="32"/>
          <w:szCs w:val="32"/>
        </w:rPr>
        <w:t>附件3</w:t>
      </w:r>
    </w:p>
    <w:tbl>
      <w:tblPr>
        <w:tblStyle w:val="style105"/>
        <w:tblW w:w="8631" w:type="dxa"/>
        <w:tblInd w:w="93" w:type="dxa"/>
        <w:tblLayout w:type="fixed"/>
        <w:tblCellMar>
          <w:top w:w="0" w:type="dxa"/>
          <w:left w:w="108" w:type="dxa"/>
          <w:bottom w:w="0" w:type="dxa"/>
          <w:right w:w="108" w:type="dxa"/>
        </w:tblCellMar>
      </w:tblPr>
      <w:tblGrid>
        <w:gridCol w:w="698"/>
        <w:gridCol w:w="939"/>
        <w:gridCol w:w="1656"/>
        <w:gridCol w:w="1408"/>
        <w:gridCol w:w="750"/>
        <w:gridCol w:w="1620"/>
        <w:gridCol w:w="1560"/>
      </w:tblGrid>
      <w:tr>
        <w:trPr>
          <w:trHeight w:val="660" w:hRule="atLeast"/>
        </w:trPr>
        <w:tc>
          <w:tcPr>
            <w:tcW w:w="8631" w:type="dxa"/>
            <w:gridSpan w:val="7"/>
            <w:tcBorders>
              <w:top w:val="nil"/>
              <w:left w:val="nil"/>
              <w:bottom w:val="nil"/>
              <w:right w:val="nil"/>
            </w:tcBorders>
            <w:shd w:val="clear" w:color="auto" w:fill="auto"/>
            <w:noWrap/>
            <w:vAlign w:val="center"/>
          </w:tcPr>
          <w:p>
            <w:pPr>
              <w:pStyle w:val="style0"/>
              <w:widowControl/>
              <w:spacing w:lineRule="exact" w:line="600"/>
              <w:jc w:val="center"/>
              <w:textAlignment w:val="center"/>
              <w:rPr>
                <w:rFonts w:ascii="宋体" w:cs="宋体" w:eastAsia="宋体" w:hAnsi="宋体"/>
                <w:b/>
                <w:bCs/>
                <w:color w:val="000000"/>
              </w:rPr>
            </w:pPr>
            <w:r>
              <w:rPr>
                <w:rFonts w:ascii="方正小标宋简体" w:cs="方正小标宋简体" w:eastAsia="方正小标宋简体" w:hAnsi="方正小标宋简体" w:hint="eastAsia"/>
                <w:color w:val="000000"/>
                <w:sz w:val="36"/>
                <w:szCs w:val="36"/>
              </w:rPr>
              <w:t>国有林场范围内可利用林地面积统计表</w:t>
            </w:r>
          </w:p>
        </w:tc>
      </w:tr>
      <w:tr>
        <w:tblPrEx/>
        <w:trPr>
          <w:trHeight w:val="57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序号</w:t>
            </w:r>
          </w:p>
        </w:tc>
        <w:tc>
          <w:tcPr>
            <w:tcW w:w="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旗县市</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林场名称</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可利用林地面积（亩）</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区域</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种植模式</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ind w:firstLine="211" w:firstLineChars="100"/>
              <w:textAlignment w:val="center"/>
              <w:rPr>
                <w:rFonts w:ascii="宋体" w:cs="宋体" w:eastAsia="宋体" w:hAnsi="宋体"/>
                <w:b/>
                <w:bCs/>
                <w:color w:val="000000"/>
              </w:rPr>
            </w:pPr>
            <w:r>
              <w:rPr>
                <w:rFonts w:ascii="宋体" w:cs="宋体" w:eastAsia="宋体" w:hAnsi="宋体" w:hint="eastAsia"/>
                <w:b/>
                <w:bCs/>
                <w:color w:val="000000"/>
              </w:rPr>
              <w:t>适种品种</w:t>
            </w: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科右</w:t>
            </w:r>
          </w:p>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中旗</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好腰苏木林场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3700</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生态种植区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林下种植、</w:t>
            </w:r>
            <w:r>
              <w:rPr>
                <w:rFonts w:ascii="宋体" w:cs="宋体" w:eastAsia="宋体" w:hAnsi="宋体" w:hint="eastAsia"/>
                <w:color w:val="000000"/>
                <w:lang w:eastAsia="zh-CN"/>
              </w:rPr>
              <w:t>间套作种植</w:t>
            </w:r>
            <w:r>
              <w:rPr>
                <w:rFonts w:ascii="宋体" w:cs="宋体" w:eastAsia="宋体" w:hAnsi="宋体" w:hint="eastAsia"/>
                <w:color w:val="000000"/>
              </w:rPr>
              <w:t>、轮替种植模式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77"/>
              <w:spacing w:lineRule="exact" w:line="460"/>
              <w:ind w:firstLineChars="200"/>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义和塔拉林场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15000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红星林场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23706</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4</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代钦塔拉林场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8870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5</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杜尔基林场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13125</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6</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哈日诺尔林场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10935</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75336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r>
        <w:tblPrEx/>
        <w:trPr>
          <w:trHeight w:val="35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7</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扎赉</w:t>
            </w:r>
          </w:p>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特旗</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中心林场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31000</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仿野生栽培区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林荫栽培模式、野生撒播模式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45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8</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额尔吐林场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7790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42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11</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小城子林场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107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12</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神山林场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野生抚育区</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封育模式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39390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r>
        <w:tblPrEx/>
        <w:trPr>
          <w:trHeight w:val="42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16</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突泉县</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东风林场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8390</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生态种植区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林下种植、</w:t>
            </w:r>
            <w:r>
              <w:rPr>
                <w:rFonts w:ascii="宋体" w:cs="宋体" w:eastAsia="宋体" w:hAnsi="宋体" w:hint="eastAsia"/>
                <w:color w:val="000000"/>
                <w:lang w:eastAsia="zh-CN"/>
              </w:rPr>
              <w:t>间套作种植</w:t>
            </w:r>
            <w:r>
              <w:rPr>
                <w:rFonts w:ascii="宋体" w:cs="宋体" w:eastAsia="宋体" w:hAnsi="宋体" w:hint="eastAsia"/>
                <w:color w:val="000000"/>
              </w:rPr>
              <w:t>、轮替种植模式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50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17</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太本林场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5204</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3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20</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蛤蟆甲林场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5000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18594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21</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科右</w:t>
            </w:r>
          </w:p>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前旗</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额尓格图林场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2300</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仿野生栽培区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林荫栽培模式、野生撒播模式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42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23</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察尔森林场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2000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24</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乌兰大坝林场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2828</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35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25</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大青山林场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2000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33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26</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兴隆林场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3600</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野生抚育区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封育模式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73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27</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海力森林场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380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9128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r>
        <w:tblPrEx/>
        <w:trPr>
          <w:trHeight w:val="329"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28</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b/>
                <w:bCs/>
                <w:color w:val="000000"/>
              </w:rPr>
            </w:pPr>
            <w:r>
              <w:rPr>
                <w:rFonts w:ascii="宋体" w:cs="宋体" w:eastAsia="宋体" w:hAnsi="宋体" w:hint="eastAsia"/>
                <w:b/>
                <w:bCs/>
                <w:color w:val="000000"/>
              </w:rPr>
              <w:t>乌兰浩特市</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白音花林场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14017.15</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生态种植区</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林下种植、</w:t>
            </w:r>
            <w:r>
              <w:rPr>
                <w:rFonts w:ascii="宋体" w:cs="宋体" w:eastAsia="宋体" w:hAnsi="宋体" w:hint="eastAsia"/>
                <w:color w:val="000000"/>
                <w:lang w:eastAsia="zh-CN"/>
              </w:rPr>
              <w:t>间套作种植</w:t>
            </w:r>
            <w:r>
              <w:rPr>
                <w:rFonts w:ascii="宋体" w:cs="宋体" w:eastAsia="宋体" w:hAnsi="宋体" w:hint="eastAsia"/>
                <w:color w:val="000000"/>
              </w:rPr>
              <w:t>、轮替种植模式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355"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29</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胜利机械林场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3800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480" w:hRule="atLeast"/>
        </w:trPr>
        <w:tc>
          <w:tcPr>
            <w:tcW w:w="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30</w:t>
            </w:r>
          </w:p>
        </w:tc>
        <w:tc>
          <w:tcPr>
            <w:tcW w:w="939"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b/>
                <w:bCs/>
                <w:color w:val="00000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乌兰哈达林场</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300</w:t>
            </w:r>
          </w:p>
        </w:tc>
        <w:tc>
          <w:tcPr>
            <w:tcW w:w="750"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c>
          <w:tcPr>
            <w:tcW w:w="1560"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spacing w:lineRule="exact" w:line="300"/>
              <w:rPr>
                <w:rFonts w:ascii="宋体" w:cs="宋体" w:eastAsia="宋体" w:hAnsi="宋体"/>
                <w:color w:val="000000"/>
              </w:rPr>
            </w:pP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小计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18117.15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r>
        <w:tblPrEx/>
        <w:trPr>
          <w:trHeight w:val="285" w:hRule="atLeast"/>
        </w:trPr>
        <w:tc>
          <w:tcPr>
            <w:tcW w:w="32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合计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textAlignment w:val="center"/>
              <w:rPr>
                <w:rFonts w:ascii="宋体" w:cs="宋体" w:eastAsia="宋体" w:hAnsi="宋体"/>
                <w:color w:val="000000"/>
              </w:rPr>
            </w:pPr>
            <w:r>
              <w:rPr>
                <w:rFonts w:ascii="宋体" w:cs="宋体" w:eastAsia="宋体" w:hAnsi="宋体" w:hint="eastAsia"/>
                <w:color w:val="000000"/>
              </w:rPr>
              <w:t>160565.15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spacing w:lineRule="exact" w:line="300"/>
              <w:rPr>
                <w:rFonts w:ascii="宋体" w:cs="宋体" w:eastAsia="宋体" w:hAnsi="宋体"/>
                <w:color w:val="000000"/>
              </w:rPr>
            </w:pPr>
          </w:p>
        </w:tc>
      </w:tr>
    </w:tbl>
    <w:p>
      <w:pPr>
        <w:pStyle w:val="style77"/>
        <w:spacing w:lineRule="exact" w:line="460"/>
        <w:ind w:firstLine="0" w:firstLineChars="0"/>
        <w:rPr>
          <w:rFonts w:ascii="仿宋_GB2312" w:cs="仿宋_GB2312" w:eastAsia="仿宋_GB2312" w:hAnsi="仿宋_GB2312"/>
          <w:sz w:val="36"/>
          <w:szCs w:val="36"/>
        </w:rPr>
      </w:pPr>
    </w:p>
    <w:p>
      <w:pPr>
        <w:pStyle w:val="style77"/>
        <w:spacing w:lineRule="exact" w:line="460"/>
        <w:ind w:firstLine="0" w:firstLineChars="0"/>
        <w:rPr>
          <w:rFonts w:ascii="仿宋_GB2312" w:cs="仿宋_GB2312" w:eastAsia="仿宋_GB2312" w:hAnsi="仿宋_GB2312"/>
          <w:sz w:val="36"/>
          <w:szCs w:val="36"/>
        </w:rPr>
        <w:sectPr>
          <w:footerReference w:type="default" r:id="rId3"/>
          <w:pgSz w:w="11906" w:h="16838" w:orient="portrait"/>
          <w:pgMar w:top="1440" w:right="1474" w:bottom="1440" w:left="1587" w:header="851" w:footer="992" w:gutter="0"/>
          <w:pgNumType w:fmt="numberInDash"/>
          <w:cols w:space="425" w:num="1"/>
          <w:docGrid w:type="lines" w:linePitch="312" w:charSpace="0"/>
        </w:sectPr>
      </w:pPr>
    </w:p>
    <w:tbl>
      <w:tblPr>
        <w:tblStyle w:val="style105"/>
        <w:tblW w:w="14052" w:type="dxa"/>
        <w:tblInd w:w="93" w:type="dxa"/>
        <w:tblLayout w:type="fixed"/>
        <w:tblCellMar>
          <w:top w:w="0" w:type="dxa"/>
          <w:left w:w="108" w:type="dxa"/>
          <w:bottom w:w="0" w:type="dxa"/>
          <w:right w:w="108" w:type="dxa"/>
        </w:tblCellMar>
      </w:tblPr>
      <w:tblGrid>
        <w:gridCol w:w="1896"/>
        <w:gridCol w:w="1176"/>
        <w:gridCol w:w="1530"/>
        <w:gridCol w:w="1965"/>
        <w:gridCol w:w="1605"/>
        <w:gridCol w:w="1965"/>
        <w:gridCol w:w="3915"/>
      </w:tblGrid>
      <w:tr>
        <w:trPr>
          <w:trHeight w:val="1118" w:hRule="atLeast"/>
        </w:trPr>
        <w:tc>
          <w:tcPr>
            <w:tcW w:w="14052" w:type="dxa"/>
            <w:gridSpan w:val="7"/>
            <w:tcBorders>
              <w:top w:val="nil"/>
              <w:left w:val="nil"/>
              <w:bottom w:val="single" w:sz="4" w:space="0" w:color="auto"/>
              <w:right w:val="nil"/>
            </w:tcBorders>
            <w:shd w:val="clear" w:color="auto" w:fill="auto"/>
            <w:noWrap/>
            <w:vAlign w:val="center"/>
          </w:tcPr>
          <w:p>
            <w:pPr>
              <w:pStyle w:val="style0"/>
              <w:widowControl/>
              <w:jc w:val="left"/>
              <w:textAlignment w:val="center"/>
              <w:rPr>
                <w:rFonts w:ascii="黑体" w:cs="黑体" w:eastAsia="黑体" w:hAnsi="黑体"/>
                <w:color w:val="000000"/>
                <w:sz w:val="32"/>
                <w:szCs w:val="32"/>
              </w:rPr>
            </w:pPr>
            <w:r>
              <w:rPr>
                <w:rFonts w:ascii="黑体" w:cs="黑体" w:eastAsia="黑体" w:hAnsi="黑体" w:hint="eastAsia"/>
                <w:color w:val="000000"/>
                <w:sz w:val="32"/>
                <w:szCs w:val="32"/>
              </w:rPr>
              <w:t>附件4</w:t>
            </w:r>
          </w:p>
          <w:p>
            <w:pPr>
              <w:pStyle w:val="style0"/>
              <w:widowControl/>
              <w:jc w:val="center"/>
              <w:textAlignment w:val="center"/>
              <w:rPr>
                <w:rFonts w:ascii="宋体" w:cs="宋体" w:eastAsia="宋体" w:hAnsi="宋体"/>
                <w:color w:val="000000"/>
                <w:sz w:val="22"/>
                <w:szCs w:val="22"/>
              </w:rPr>
            </w:pPr>
            <w:r>
              <w:rPr>
                <w:rFonts w:ascii="方正小标宋简体" w:cs="方正小标宋简体" w:eastAsia="方正小标宋简体" w:hAnsi="方正小标宋简体" w:hint="eastAsia"/>
                <w:color w:val="000000"/>
                <w:sz w:val="30"/>
                <w:szCs w:val="30"/>
              </w:rPr>
              <w:t>各旗县市可发展林下经营活动统计表</w:t>
            </w:r>
          </w:p>
        </w:tc>
      </w:tr>
      <w:tr>
        <w:tblPrEx/>
        <w:trPr>
          <w:trHeight w:val="270" w:hRule="atLeast"/>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textAlignment w:val="center"/>
              <w:rPr>
                <w:rFonts w:ascii="宋体" w:cs="宋体" w:eastAsia="宋体" w:hAnsi="宋体"/>
                <w:b/>
                <w:bCs/>
                <w:color w:val="000000"/>
                <w:sz w:val="22"/>
                <w:szCs w:val="22"/>
              </w:rPr>
            </w:pPr>
            <w:r>
              <w:rPr>
                <w:rFonts w:ascii="宋体" w:cs="宋体" w:eastAsia="宋体" w:hAnsi="宋体" w:hint="eastAsia"/>
                <w:b/>
                <w:bCs/>
                <w:color w:val="000000"/>
                <w:sz w:val="22"/>
                <w:szCs w:val="22"/>
              </w:rPr>
              <w:t>旗县市</w:t>
            </w:r>
          </w:p>
        </w:tc>
        <w:tc>
          <w:tcPr>
            <w:tcW w:w="2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textAlignment w:val="center"/>
              <w:rPr>
                <w:rFonts w:ascii="宋体" w:cs="宋体" w:eastAsia="宋体" w:hAnsi="宋体"/>
                <w:b/>
                <w:bCs/>
                <w:color w:val="000000"/>
                <w:sz w:val="22"/>
                <w:szCs w:val="22"/>
              </w:rPr>
            </w:pPr>
            <w:r>
              <w:rPr>
                <w:rFonts w:ascii="宋体" w:cs="宋体" w:eastAsia="宋体" w:hAnsi="宋体" w:hint="eastAsia"/>
                <w:b/>
                <w:bCs/>
                <w:color w:val="000000"/>
                <w:sz w:val="22"/>
                <w:szCs w:val="22"/>
              </w:rPr>
              <w:t>地类</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tabs>
                <w:tab w:val="left" w:leader="none" w:pos="327"/>
              </w:tabs>
              <w:rPr>
                <w:rFonts w:ascii="宋体" w:cs="宋体" w:eastAsia="宋体" w:hAnsi="宋体"/>
                <w:b/>
                <w:bCs/>
                <w:color w:val="000000"/>
                <w:sz w:val="22"/>
                <w:szCs w:val="22"/>
              </w:rPr>
            </w:pPr>
            <w:r>
              <w:rPr>
                <w:rFonts w:ascii="宋体" w:cs="宋体" w:eastAsia="宋体" w:hAnsi="宋体" w:hint="eastAsia"/>
                <w:b/>
                <w:bCs/>
                <w:color w:val="000000"/>
                <w:sz w:val="22"/>
                <w:szCs w:val="22"/>
              </w:rPr>
              <w:t>可利用面积</w:t>
            </w:r>
          </w:p>
          <w:p>
            <w:pPr>
              <w:pStyle w:val="style0"/>
              <w:tabs>
                <w:tab w:val="left" w:leader="none" w:pos="327"/>
              </w:tabs>
              <w:rPr>
                <w:rFonts w:ascii="宋体" w:cs="宋体" w:eastAsia="宋体" w:hAnsi="宋体"/>
                <w:b/>
                <w:bCs/>
                <w:color w:val="000000"/>
                <w:sz w:val="22"/>
                <w:szCs w:val="22"/>
              </w:rPr>
            </w:pPr>
            <w:r>
              <w:rPr>
                <w:rFonts w:ascii="宋体" w:cs="宋体" w:eastAsia="宋体" w:hAnsi="宋体" w:hint="eastAsia"/>
                <w:b/>
                <w:bCs/>
                <w:color w:val="000000"/>
                <w:sz w:val="22"/>
                <w:szCs w:val="22"/>
              </w:rPr>
              <w:t>（亩）</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textAlignment w:val="center"/>
              <w:rPr>
                <w:rFonts w:ascii="宋体" w:cs="宋体" w:eastAsia="宋体" w:hAnsi="宋体"/>
                <w:b/>
                <w:bCs/>
                <w:color w:val="000000"/>
              </w:rPr>
            </w:pPr>
            <w:r>
              <w:rPr>
                <w:rFonts w:ascii="宋体" w:cs="宋体" w:eastAsia="宋体" w:hAnsi="宋体" w:hint="eastAsia"/>
                <w:b/>
                <w:bCs/>
                <w:color w:val="000000"/>
              </w:rPr>
              <w:t>区域</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textAlignment w:val="center"/>
              <w:rPr>
                <w:rFonts w:ascii="宋体" w:cs="宋体" w:eastAsia="宋体" w:hAnsi="宋体"/>
                <w:b/>
                <w:bCs/>
                <w:color w:val="000000"/>
              </w:rPr>
            </w:pPr>
            <w:r>
              <w:rPr>
                <w:rFonts w:ascii="宋体" w:cs="宋体" w:eastAsia="宋体" w:hAnsi="宋体" w:hint="eastAsia"/>
                <w:b/>
                <w:bCs/>
                <w:color w:val="000000"/>
              </w:rPr>
              <w:t>种植模式</w:t>
            </w:r>
          </w:p>
        </w:tc>
        <w:tc>
          <w:tcPr>
            <w:tcW w:w="3915"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ind w:firstLine="211" w:firstLineChars="100"/>
              <w:textAlignment w:val="center"/>
              <w:rPr>
                <w:rFonts w:ascii="宋体" w:cs="宋体" w:eastAsia="宋体" w:hAnsi="宋体"/>
                <w:b/>
                <w:bCs/>
                <w:color w:val="000000"/>
              </w:rPr>
            </w:pPr>
            <w:r>
              <w:rPr>
                <w:rFonts w:ascii="宋体" w:cs="宋体" w:eastAsia="宋体" w:hAnsi="宋体" w:hint="eastAsia"/>
                <w:b/>
                <w:bCs/>
                <w:color w:val="000000"/>
              </w:rPr>
              <w:t>适种品种</w:t>
            </w:r>
          </w:p>
        </w:tc>
      </w:tr>
      <w:tr>
        <w:tblPrEx/>
        <w:trPr>
          <w:trHeight w:val="285" w:hRule="atLeast"/>
        </w:trPr>
        <w:tc>
          <w:tcPr>
            <w:tcW w:w="1896"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兴安盟</w:t>
            </w:r>
          </w:p>
        </w:tc>
        <w:tc>
          <w:tcPr>
            <w:tcW w:w="2706"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合计</w:t>
            </w:r>
          </w:p>
        </w:tc>
        <w:tc>
          <w:tcPr>
            <w:tcW w:w="1965" w:type="dxa"/>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b/>
                <w:bCs/>
                <w:color w:val="000000"/>
                <w:sz w:val="22"/>
                <w:szCs w:val="22"/>
              </w:rPr>
              <w:t xml:space="preserve">3138126.6 </w:t>
            </w:r>
          </w:p>
        </w:tc>
        <w:tc>
          <w:tcPr>
            <w:tcW w:w="1605" w:type="dxa"/>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rPr>
            </w:pPr>
          </w:p>
        </w:tc>
        <w:tc>
          <w:tcPr>
            <w:tcW w:w="1965" w:type="dxa"/>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rPr>
            </w:pPr>
          </w:p>
        </w:tc>
        <w:tc>
          <w:tcPr>
            <w:tcW w:w="3915" w:type="dxa"/>
            <w:tcBorders>
              <w:top w:val="single" w:sz="4" w:space="0" w:color="auto"/>
              <w:left w:val="single" w:sz="4" w:space="0" w:color="000000"/>
              <w:bottom w:val="single" w:sz="4" w:space="0" w:color="000000"/>
              <w:right w:val="single" w:sz="4" w:space="0" w:color="000000"/>
            </w:tcBorders>
            <w:shd w:val="clear" w:color="auto" w:fill="auto"/>
            <w:noWrap/>
            <w:vAlign w:val="center"/>
          </w:tcPr>
          <w:p>
            <w:pPr>
              <w:pStyle w:val="style0"/>
              <w:widowControl/>
              <w:ind w:firstLine="211" w:firstLineChars="100"/>
              <w:textAlignment w:val="center"/>
              <w:rPr>
                <w:rFonts w:ascii="宋体" w:cs="宋体" w:eastAsia="宋体" w:hAnsi="宋体"/>
                <w:b/>
                <w:bCs/>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1503049.4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300"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1635077.2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320"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sz w:val="24"/>
                <w:szCs w:val="24"/>
              </w:rPr>
            </w:pPr>
            <w:r>
              <w:rPr>
                <w:rFonts w:ascii="宋体" w:cs="宋体" w:eastAsia="宋体" w:hAnsi="宋体" w:hint="eastAsia"/>
                <w:b/>
                <w:bCs/>
                <w:color w:val="000000"/>
                <w:sz w:val="24"/>
                <w:szCs w:val="24"/>
              </w:rPr>
              <w:t>乌兰浩特市</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907.4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b/>
                <w:bCs/>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84862.9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义勒力特镇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0.0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生态种植区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rPr>
            </w:pPr>
            <w:r>
              <w:rPr>
                <w:rFonts w:ascii="宋体" w:cs="宋体" w:eastAsia="宋体" w:hAnsi="宋体" w:hint="eastAsia"/>
                <w:color w:val="000000"/>
              </w:rPr>
              <w:t>林下种植模式、间套作种植、轮替种植模式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30806.7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葛根庙镇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491.4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23059.3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城郊办事处</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1470.4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乌兰哈达镇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293.4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27835.2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太本站镇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122.5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1691.3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sz w:val="24"/>
                <w:szCs w:val="24"/>
              </w:rPr>
            </w:pPr>
            <w:r>
              <w:rPr>
                <w:rFonts w:ascii="宋体" w:cs="宋体" w:eastAsia="宋体" w:hAnsi="宋体" w:hint="eastAsia"/>
                <w:b/>
                <w:bCs/>
                <w:color w:val="000000"/>
                <w:sz w:val="24"/>
                <w:szCs w:val="24"/>
              </w:rPr>
              <w:t>科右前旗</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598333.8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340"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b/>
                <w:bCs/>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350474.1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阿力得尔苏木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47253.2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pPr>
            <w:r>
              <w:rPr>
                <w:rFonts w:hint="eastAsia"/>
              </w:rPr>
              <w:t>仿野生栽培区</w:t>
            </w: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0" w:firstLineChars="0"/>
              <w:rPr>
                <w:rFonts w:ascii="宋体" w:cs="宋体" w:eastAsia="宋体" w:hAnsi="宋体"/>
                <w:color w:val="000000"/>
                <w:sz w:val="22"/>
                <w:szCs w:val="22"/>
              </w:rPr>
            </w:pPr>
            <w:r>
              <w:rPr>
                <w:rFonts w:ascii="宋体" w:cs="宋体" w:eastAsia="宋体" w:hAnsi="宋体" w:hint="eastAsia"/>
                <w:color w:val="000000"/>
                <w:sz w:val="22"/>
                <w:szCs w:val="22"/>
              </w:rPr>
              <w:t>仿野生栽培区</w:t>
            </w:r>
          </w:p>
          <w:p>
            <w:pPr>
              <w:pStyle w:val="style77"/>
              <w:ind w:firstLine="220"/>
              <w:rPr>
                <w:rFonts w:ascii="宋体" w:cs="宋体" w:eastAsia="宋体" w:hAnsi="宋体"/>
                <w:color w:val="000000"/>
                <w:sz w:val="22"/>
                <w:szCs w:val="22"/>
              </w:rPr>
            </w:pP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pPr>
            <w:r>
              <w:rPr>
                <w:rFonts w:hint="eastAsia"/>
              </w:rPr>
              <w:t>林荫栽培模式、野生撒播模式</w:t>
            </w: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0" w:firstLineChars="0"/>
              <w:rPr>
                <w:rFonts w:ascii="宋体" w:cs="宋体" w:eastAsia="宋体" w:hAnsi="宋体"/>
                <w:color w:val="000000"/>
                <w:sz w:val="22"/>
                <w:szCs w:val="22"/>
              </w:rPr>
            </w:pPr>
            <w:r>
              <w:rPr>
                <w:rFonts w:ascii="宋体" w:cs="宋体" w:eastAsia="宋体" w:hAnsi="宋体" w:hint="eastAsia"/>
                <w:color w:val="000000"/>
                <w:sz w:val="22"/>
                <w:szCs w:val="22"/>
              </w:rPr>
              <w:t>林荫栽培模式、野生撒播模式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pPr>
            <w:r>
              <w:rPr>
                <w:rFonts w:ascii="宋体" w:cs="宋体" w:eastAsia="宋体" w:hAnsi="宋体" w:hint="eastAsia"/>
                <w:color w:val="000000"/>
              </w:rPr>
              <w:t>苍术、赤芍、防风、黄芩、桔梗、黄芪等</w:t>
            </w: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20"/>
              <w:rPr>
                <w:rFonts w:ascii="宋体" w:cs="宋体" w:eastAsia="宋体" w:hAnsi="宋体"/>
                <w:color w:val="000000"/>
                <w:sz w:val="22"/>
                <w:szCs w:val="22"/>
              </w:rPr>
            </w:pPr>
          </w:p>
          <w:p>
            <w:pPr>
              <w:pStyle w:val="style77"/>
              <w:ind w:firstLine="210"/>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16039.0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巴日嘎斯台</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102992.7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84717.4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察尔森镇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36043.0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16029.7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大石寨镇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77306.2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91300.9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德伯斯镇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24690.4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4227.5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俄体镇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67214.9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21526.9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额尔格图镇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73191.9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30321.2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归流河镇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40691.8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29055.8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居力很镇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36620.1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30611.7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科尔沁镇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46773.5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7233.3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满族屯满族乡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7572.4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野生抚育区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封育模式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pPr>
          </w:p>
          <w:p>
            <w:pPr>
              <w:pStyle w:val="style0"/>
              <w:widowControl/>
              <w:textAlignment w:val="center"/>
              <w:rPr/>
            </w:pPr>
          </w:p>
          <w:p>
            <w:pPr>
              <w:pStyle w:val="style0"/>
              <w:widowControl/>
              <w:textAlignment w:val="center"/>
              <w:rPr/>
            </w:pPr>
          </w:p>
          <w:p>
            <w:pPr>
              <w:pStyle w:val="style77"/>
              <w:ind w:firstLine="210"/>
              <w:rPr>
                <w:rFonts w:ascii="宋体" w:cs="宋体" w:eastAsia="宋体" w:hAnsi="宋体"/>
                <w:color w:val="000000"/>
              </w:rPr>
            </w:pPr>
            <w:r>
              <w:rPr>
                <w:rFonts w:ascii="宋体" w:cs="宋体" w:eastAsia="宋体" w:hAnsi="宋体" w:hint="eastAsia"/>
                <w:color w:val="000000"/>
              </w:rPr>
              <w:t>苍术、赤芍、防风、黄芩、桔梗、黄芪等</w:t>
            </w:r>
          </w:p>
          <w:p>
            <w:pPr>
              <w:pStyle w:val="style77"/>
              <w:ind w:firstLine="210"/>
              <w:rPr>
                <w:rFonts w:ascii="宋体" w:cs="宋体" w:eastAsia="宋体" w:hAnsi="宋体"/>
                <w:color w:val="000000"/>
              </w:rPr>
            </w:pPr>
          </w:p>
          <w:p>
            <w:pPr>
              <w:pStyle w:val="style77"/>
              <w:ind w:firstLine="0" w:firstLineChars="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6002.6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索伦镇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17400.8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2242.7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桃合木苏木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10922.6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2780.3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乌兰毛都苏木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9660.4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8385.2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sz w:val="24"/>
                <w:szCs w:val="24"/>
              </w:rPr>
            </w:pPr>
            <w:r>
              <w:rPr>
                <w:rFonts w:ascii="宋体" w:cs="宋体" w:eastAsia="宋体" w:hAnsi="宋体" w:hint="eastAsia"/>
                <w:b/>
                <w:bCs/>
                <w:color w:val="000000"/>
                <w:sz w:val="24"/>
                <w:szCs w:val="24"/>
              </w:rPr>
              <w:t>科右中旗</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416038.2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167"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b/>
                <w:bCs/>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543925.2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巴仁哲里木镇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360.7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生态种植区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林下种植模式、</w:t>
            </w:r>
            <w:r>
              <w:rPr>
                <w:rFonts w:ascii="宋体" w:cs="宋体" w:eastAsia="宋体" w:hAnsi="宋体" w:hint="eastAsia"/>
                <w:color w:val="000000"/>
              </w:rPr>
              <w:t>间套作种植、</w:t>
            </w:r>
            <w:r>
              <w:rPr>
                <w:rFonts w:ascii="宋体" w:cs="宋体" w:eastAsia="宋体" w:hAnsi="宋体" w:hint="eastAsia"/>
                <w:color w:val="000000"/>
                <w:sz w:val="22"/>
                <w:szCs w:val="22"/>
              </w:rPr>
              <w:t>轮替种植模式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152"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8099.6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哈日诺尔苏木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650.1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9646.8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吐列毛杜镇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20170.9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26181.7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额木庭高勒苏木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21966.9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107"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55791.2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杜尔基</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20592.6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43203.0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167"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代钦塔拉苏木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24406.5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108430.5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新佳木苏木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78234.0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36449.7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12"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巴彦呼舒镇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57440.6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197"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14006.1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高力板镇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77777.3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41285.5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巴彦淖尔苏木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45629.6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54104.7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巴彦茫哈苏木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28048.2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89159.4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好腰苏木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40760.7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57566.9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sz w:val="24"/>
                <w:szCs w:val="24"/>
              </w:rPr>
            </w:pPr>
            <w:r>
              <w:rPr>
                <w:rFonts w:ascii="宋体" w:cs="宋体" w:eastAsia="宋体" w:hAnsi="宋体" w:hint="eastAsia"/>
                <w:b/>
                <w:bCs/>
                <w:color w:val="000000"/>
                <w:sz w:val="24"/>
                <w:szCs w:val="24"/>
              </w:rPr>
              <w:t>扎赉特旗</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263970.0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b/>
                <w:bCs/>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589215.0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新林镇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39525.0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野生抚育区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封育模式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45870.0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阿尔本格勒镇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10455.0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37065.0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巴达尔胡镇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44805.0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胡尔勒镇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35895.0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仿野生栽培区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林荫栽培模式、野生撒播模式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36825.0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巴彦高勒镇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41385.0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108585.0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音德尔镇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66615.0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117540.0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图牧吉镇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1350.0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29325.0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好力保镇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12225.0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22515.0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阿拉达尔吐苏木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7920.0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野生抚育区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封育模式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28785.0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巴彦乌兰苏木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20010.0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7935.0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sz w:val="24"/>
                <w:szCs w:val="24"/>
              </w:rPr>
            </w:pPr>
            <w:r>
              <w:rPr>
                <w:rFonts w:ascii="宋体" w:cs="宋体" w:eastAsia="宋体" w:hAnsi="宋体" w:hint="eastAsia"/>
                <w:sz w:val="24"/>
                <w:szCs w:val="24"/>
              </w:rPr>
              <w:t>巴彦扎拉嘎乡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21525.0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ff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44160.0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宝力根花苏木</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5190.0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仿野生栽培区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林荫栽培模式、野生撒播模式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32130.0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努文木仁乡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1815.0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33675.0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b/>
                <w:bCs/>
                <w:color w:val="000000"/>
                <w:sz w:val="22"/>
                <w:szCs w:val="22"/>
              </w:rPr>
            </w:pPr>
            <w:r>
              <w:rPr>
                <w:rFonts w:ascii="宋体" w:cs="宋体" w:eastAsia="宋体" w:hAnsi="宋体" w:hint="eastAsia"/>
                <w:b/>
                <w:bCs/>
                <w:color w:val="000000"/>
                <w:sz w:val="22"/>
                <w:szCs w:val="22"/>
              </w:rPr>
              <w:t>突泉县</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223800.0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b/>
                <w:bCs/>
                <w:color w:val="000000"/>
                <w:sz w:val="22"/>
                <w:szCs w:val="22"/>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66600.0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宝石镇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30150.0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生态种植区</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林下种植模式、</w:t>
            </w:r>
            <w:r>
              <w:rPr>
                <w:rFonts w:ascii="宋体" w:cs="宋体" w:eastAsia="宋体" w:hAnsi="宋体" w:hint="eastAsia"/>
                <w:color w:val="000000"/>
              </w:rPr>
              <w:t>间套作种植、</w:t>
            </w:r>
            <w:r>
              <w:rPr>
                <w:rFonts w:ascii="宋体" w:cs="宋体" w:eastAsia="宋体" w:hAnsi="宋体" w:hint="eastAsia"/>
                <w:color w:val="000000"/>
                <w:sz w:val="22"/>
                <w:szCs w:val="22"/>
              </w:rPr>
              <w:t>轮替种植模式</w:t>
            </w:r>
          </w:p>
        </w:tc>
        <w:tc>
          <w:tcPr>
            <w:tcW w:w="39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rPr>
              <w:t>苍术、赤芍、防风、黄芩、桔梗、黄芪等</w:t>
            </w: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12000.0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学田乡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24000.0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4500.0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六户镇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30450.0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12300.0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永安镇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27000.0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8100.0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杜尔基镇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14700.0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2850.0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九龙乡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12000.0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1350.0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太平乡</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18000.0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3000.0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水泉镇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22500.0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4500.0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突泉镇</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人工林地</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商品林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45000.0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r>
        <w:tblPrEx/>
        <w:trPr>
          <w:trHeight w:val="285" w:hRule="atLeast"/>
        </w:trPr>
        <w:tc>
          <w:tcPr>
            <w:tcW w:w="189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176" w:type="dxa"/>
            <w:vMerge w:val="continue"/>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rPr>
                <w:rFonts w:ascii="宋体" w:cs="宋体" w:eastAsia="宋体" w:hAnsi="宋体"/>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4"/>
                <w:szCs w:val="24"/>
              </w:rPr>
            </w:pPr>
            <w:r>
              <w:rPr>
                <w:rFonts w:ascii="宋体" w:cs="宋体" w:eastAsia="宋体" w:hAnsi="宋体" w:hint="eastAsia"/>
                <w:color w:val="000000"/>
                <w:sz w:val="24"/>
                <w:szCs w:val="24"/>
              </w:rPr>
              <w:t>公益林</w:t>
            </w:r>
          </w:p>
        </w:tc>
        <w:tc>
          <w:tcPr>
            <w:tcW w:w="1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pStyle w:val="style0"/>
              <w:widowControl/>
              <w:textAlignment w:val="center"/>
              <w:rPr>
                <w:rFonts w:ascii="宋体" w:cs="宋体" w:eastAsia="宋体" w:hAnsi="宋体"/>
                <w:color w:val="000000"/>
                <w:sz w:val="22"/>
                <w:szCs w:val="22"/>
              </w:rPr>
            </w:pPr>
            <w:r>
              <w:rPr>
                <w:rFonts w:ascii="宋体" w:cs="宋体" w:eastAsia="宋体" w:hAnsi="宋体" w:hint="eastAsia"/>
                <w:color w:val="000000"/>
                <w:sz w:val="22"/>
                <w:szCs w:val="22"/>
              </w:rPr>
              <w:t xml:space="preserve">18000.0 </w:t>
            </w:r>
          </w:p>
        </w:tc>
        <w:tc>
          <w:tcPr>
            <w:tcW w:w="160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196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c>
          <w:tcPr>
            <w:tcW w:w="3915" w:type="dxa"/>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rPr>
                <w:rFonts w:ascii="宋体" w:cs="宋体" w:eastAsia="宋体" w:hAnsi="宋体"/>
                <w:color w:val="000000"/>
                <w:sz w:val="22"/>
                <w:szCs w:val="22"/>
              </w:rPr>
            </w:pPr>
          </w:p>
        </w:tc>
      </w:tr>
    </w:tbl>
    <w:p>
      <w:pPr>
        <w:pStyle w:val="style77"/>
        <w:spacing w:lineRule="exact" w:line="460"/>
        <w:ind w:firstLine="0" w:firstLineChars="0"/>
        <w:rPr>
          <w:rFonts w:ascii="仿宋_GB2312" w:cs="仿宋_GB2312" w:eastAsia="仿宋_GB2312" w:hAnsi="仿宋_GB2312"/>
          <w:sz w:val="36"/>
          <w:szCs w:val="36"/>
        </w:rPr>
      </w:pP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86"/>
    <w:family w:val="auto"/>
    <w:pitch w:val="default"/>
    <w:sig w:usb0="E0002EFF" w:usb1="C000785B" w:usb2="00000009" w:usb3="00000000" w:csb0="400001FF" w:csb1="FFFF0000"/>
  </w:font>
  <w:font w:name="宋体">
    <w:altName w:val="宋体"/>
    <w:panose1 w:val="02010600030001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仿宋_GB2312">
    <w:altName w:val="仿宋_GB2312"/>
    <w:panose1 w:val="02010609030001010101"/>
    <w:charset w:val="86"/>
    <w:family w:val="auto"/>
    <w:pitch w:val="default"/>
    <w:sig w:usb0="00000001" w:usb1="080E0000" w:usb2="00000000" w:usb3="00000000" w:csb0="00040000" w:csb1="00000000"/>
  </w:font>
  <w:font w:name="方正小标宋简体">
    <w:altName w:val="方正小标宋简体"/>
    <w:panose1 w:val="03000509000000000000"/>
    <w:charset w:val="86"/>
    <w:family w:val="auto"/>
    <w:pitch w:val="default"/>
    <w:sig w:usb0="00000001" w:usb1="080E0000" w:usb2="00000000" w:usb3="00000000" w:csb0="00040000" w:csb1="00000000"/>
  </w:font>
  <w:font w:name="楷体">
    <w:altName w:val="楷体"/>
    <w:panose1 w:val="02010609060001010101"/>
    <w:charset w:val="86"/>
    <w:family w:val="modern"/>
    <w:pitch w:val="default"/>
    <w:sig w:usb0="800002BF" w:usb1="38CF7CFA" w:usb2="00000016" w:usb3="00000000" w:csb0="00040001" w:csb1="00000000"/>
  </w:font>
  <w:font w:name="仿宋">
    <w:altName w:val="仿宋"/>
    <w:panose1 w:val="02010609060001010101"/>
    <w:charset w:val="86"/>
    <w:family w:val="modern"/>
    <w:pitch w:val="default"/>
    <w:sig w:usb0="800002BF" w:usb1="38CF7CFA"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- 1 -</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- 1 -</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32"/>
    <w:qFormat/>
    <w:uiPriority w:val="0"/>
    <w:pPr>
      <w:widowControl w:val="false"/>
      <w:jc w:val="both"/>
    </w:pPr>
    <w:rPr>
      <w:rFonts w:ascii="Calibri" w:cs="宋体" w:eastAsia="宋体" w:hAnsi="Calibri"/>
      <w:sz w:val="21"/>
      <w:szCs w:val="21"/>
      <w:lang w:val="en-US" w:bidi="ar-SA" w:eastAsia="zh-CN"/>
    </w:rPr>
  </w:style>
  <w:style w:type="paragraph" w:styleId="style2">
    <w:name w:val="heading 2"/>
    <w:basedOn w:val="style0"/>
    <w:next w:val="style0"/>
    <w:qFormat/>
    <w:uiPriority w:val="9"/>
    <w:pPr>
      <w:keepNext/>
      <w:keepLines/>
      <w:spacing w:before="260" w:after="260" w:lineRule="auto" w:line="416"/>
      <w:jc w:val="center"/>
      <w:outlineLvl w:val="1"/>
    </w:pPr>
    <w:rPr>
      <w:rFonts w:ascii="仿宋_GB2312" w:cs="仿宋_GB2312" w:eastAsia="黑体" w:hAnsi="仿宋_GB2312"/>
      <w:bCs/>
      <w:sz w:val="36"/>
      <w:szCs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2">
    <w:name w:val="footer"/>
    <w:basedOn w:val="style0"/>
    <w:next w:val="style32"/>
    <w:qFormat/>
    <w:uiPriority w:val="0"/>
    <w:pPr>
      <w:tabs>
        <w:tab w:val="center" w:leader="none" w:pos="4153"/>
        <w:tab w:val="right" w:leader="none" w:pos="8306"/>
      </w:tabs>
      <w:snapToGrid w:val="false"/>
      <w:jc w:val="left"/>
    </w:pPr>
    <w:rPr>
      <w:sz w:val="18"/>
    </w:rPr>
  </w:style>
  <w:style w:type="paragraph" w:styleId="style66">
    <w:name w:val="Body Text"/>
    <w:basedOn w:val="style0"/>
    <w:next w:val="style66"/>
    <w:qFormat/>
    <w:uiPriority w:val="0"/>
    <w:pPr>
      <w:spacing w:after="120"/>
    </w:pPr>
    <w:rPr/>
  </w:style>
  <w:style w:type="paragraph" w:styleId="style31">
    <w:name w:val="header"/>
    <w:basedOn w:val="style0"/>
    <w:next w:val="style31"/>
    <w:qFormat/>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94">
    <w:name w:val="Normal (Web)"/>
    <w:basedOn w:val="style0"/>
    <w:next w:val="style94"/>
    <w:qFormat/>
    <w:uiPriority w:val="0"/>
    <w:pPr>
      <w:spacing w:before="100" w:beforeAutospacing="true" w:after="100" w:afterAutospacing="true"/>
      <w:jc w:val="left"/>
    </w:pPr>
    <w:rPr>
      <w:rFonts w:cs="Times New Roman"/>
      <w:sz w:val="24"/>
    </w:rPr>
  </w:style>
  <w:style w:type="paragraph" w:styleId="style77">
    <w:name w:val="Body Text First Indent"/>
    <w:basedOn w:val="style66"/>
    <w:next w:val="style77"/>
    <w:qFormat/>
    <w:uiPriority w:val="0"/>
    <w:pPr>
      <w:ind w:firstLine="420" w:firstLineChars="100"/>
    </w:pPr>
    <w:rPr/>
  </w:style>
  <w:style w:type="character" w:customStyle="1" w:styleId="style4097">
    <w:name w:val="15"/>
    <w:basedOn w:val="style65"/>
    <w:next w:val="style4097"/>
    <w:qFormat/>
    <w:uiPriority w:val="0"/>
    <w:rPr>
      <w:rFonts w:ascii="Times New Roman" w:cs="Times New Roman" w:hAnsi="Times New Roman" w:hint="default"/>
      <w:kern w:val="2"/>
      <w:sz w:val="21"/>
      <w:szCs w:val="21"/>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Words>5943</Words>
  <Pages>17</Pages>
  <Characters>6854</Characters>
  <Application>WPS Office</Application>
  <DocSecurity>0</DocSecurity>
  <Paragraphs>1447</Paragraphs>
  <ScaleCrop>false</ScaleCrop>
  <LinksUpToDate>false</LinksUpToDate>
  <CharactersWithSpaces>6984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2021-12-14T03:18:00Z</dcterms:created>
  <dc:creator>Administrator</dc:creator>
  <lastModifiedBy>NOH-AN00</lastModifiedBy>
  <lastPrinted>2022-06-10T09:09:00Z</lastPrinted>
  <dcterms:modified xsi:type="dcterms:W3CDTF">2022-06-21T10:51:47Z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fb4adef9fe2f4b6290c3db97207242c8</vt:lpwstr>
  </property>
</Properties>
</file>