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兴安盟林业和草原局实行无证明审批事项及告知承诺制审批事项目录</w:t>
      </w:r>
    </w:p>
    <w:p>
      <w:pPr>
        <w:jc w:val="center"/>
        <w:rPr>
          <w:rFonts w:hint="eastAsia"/>
          <w:sz w:val="44"/>
          <w:szCs w:val="44"/>
          <w:lang w:eastAsia="zh-CN"/>
        </w:rPr>
      </w:pPr>
    </w:p>
    <w:tbl>
      <w:tblPr>
        <w:tblStyle w:val="2"/>
        <w:tblW w:w="15265"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00"/>
        <w:gridCol w:w="1067"/>
        <w:gridCol w:w="4650"/>
        <w:gridCol w:w="850"/>
        <w:gridCol w:w="933"/>
        <w:gridCol w:w="1150"/>
        <w:gridCol w:w="784"/>
        <w:gridCol w:w="633"/>
        <w:gridCol w:w="583"/>
        <w:gridCol w:w="700"/>
        <w:gridCol w:w="58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vMerge w:val="restart"/>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序号</w:t>
            </w:r>
          </w:p>
        </w:tc>
        <w:tc>
          <w:tcPr>
            <w:tcW w:w="1100" w:type="dxa"/>
            <w:vMerge w:val="restart"/>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证明名称</w:t>
            </w:r>
          </w:p>
        </w:tc>
        <w:tc>
          <w:tcPr>
            <w:tcW w:w="1067" w:type="dxa"/>
            <w:vMerge w:val="restart"/>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证明用途</w:t>
            </w:r>
          </w:p>
        </w:tc>
        <w:tc>
          <w:tcPr>
            <w:tcW w:w="5500" w:type="dxa"/>
            <w:gridSpan w:val="2"/>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设定依据</w:t>
            </w:r>
          </w:p>
        </w:tc>
        <w:tc>
          <w:tcPr>
            <w:tcW w:w="2083" w:type="dxa"/>
            <w:gridSpan w:val="2"/>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实施基本情况</w:t>
            </w:r>
          </w:p>
        </w:tc>
        <w:tc>
          <w:tcPr>
            <w:tcW w:w="2700" w:type="dxa"/>
            <w:gridSpan w:val="4"/>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行使层级</w:t>
            </w:r>
          </w:p>
        </w:tc>
        <w:tc>
          <w:tcPr>
            <w:tcW w:w="584" w:type="dxa"/>
            <w:vMerge w:val="restart"/>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事项</w:t>
            </w:r>
          </w:p>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类型</w:t>
            </w:r>
          </w:p>
        </w:tc>
        <w:tc>
          <w:tcPr>
            <w:tcW w:w="1765" w:type="dxa"/>
            <w:vMerge w:val="restart"/>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vMerge w:val="continue"/>
            <w:noWrap w:val="0"/>
            <w:vAlign w:val="top"/>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1100" w:type="dxa"/>
            <w:vMerge w:val="continue"/>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1067" w:type="dxa"/>
            <w:vMerge w:val="continue"/>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46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依据名称、文号及条文内容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效力层级</w:t>
            </w:r>
          </w:p>
        </w:tc>
        <w:tc>
          <w:tcPr>
            <w:tcW w:w="93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索要单位</w:t>
            </w:r>
          </w:p>
        </w:tc>
        <w:tc>
          <w:tcPr>
            <w:tcW w:w="11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开具单位</w:t>
            </w:r>
          </w:p>
        </w:tc>
        <w:tc>
          <w:tcPr>
            <w:tcW w:w="784"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省部级</w:t>
            </w:r>
          </w:p>
        </w:tc>
        <w:tc>
          <w:tcPr>
            <w:tcW w:w="63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市级</w:t>
            </w:r>
          </w:p>
        </w:tc>
        <w:tc>
          <w:tcPr>
            <w:tcW w:w="58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县级</w:t>
            </w:r>
          </w:p>
        </w:tc>
        <w:tc>
          <w:tcPr>
            <w:tcW w:w="70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乡级及</w:t>
            </w:r>
          </w:p>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其他</w:t>
            </w:r>
          </w:p>
        </w:tc>
        <w:tc>
          <w:tcPr>
            <w:tcW w:w="584" w:type="dxa"/>
            <w:vMerge w:val="continue"/>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1765" w:type="dxa"/>
            <w:vMerge w:val="continue"/>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trPr>
        <w:tc>
          <w:tcPr>
            <w:tcW w:w="466"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default"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29</w:t>
            </w:r>
          </w:p>
        </w:tc>
        <w:tc>
          <w:tcPr>
            <w:tcW w:w="110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国有林场管理机构同意上报</w:t>
            </w:r>
            <w:r>
              <w:rPr>
                <w:rFonts w:hint="eastAsia" w:ascii="仿宋" w:hAnsi="仿宋" w:eastAsia="仿宋" w:cs="Times New Roman"/>
                <w:color w:val="000000"/>
                <w:sz w:val="24"/>
                <w:szCs w:val="24"/>
                <w:lang w:val="en-US" w:eastAsia="zh-CN"/>
              </w:rPr>
              <w:t>证明</w:t>
            </w:r>
          </w:p>
        </w:tc>
        <w:tc>
          <w:tcPr>
            <w:tcW w:w="1067"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在国有林区开发森林旅游建设项目审批</w:t>
            </w:r>
          </w:p>
        </w:tc>
        <w:tc>
          <w:tcPr>
            <w:tcW w:w="46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default"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《内蒙古自治区实施＜中华人民共和国森林法＞办法》（2000年8月6日内蒙古自治区第九届人民代表大会常务委员会公告第44号公布）第二十六条第四款 开发森林旅游项目，须经旗县级以上人民政府林业主管部门审核同意。</w:t>
            </w:r>
          </w:p>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2.《内蒙古自治区人民政府关于分级审批、下放和取消部分行政审批项目的决定》（内政发〔2014〕58号）附件2第19项，下放至盟市，项目名称：在国有林区开发森林旅游建设项目审批。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部门规章</w:t>
            </w:r>
          </w:p>
        </w:tc>
        <w:tc>
          <w:tcPr>
            <w:tcW w:w="93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兴安盟</w:t>
            </w:r>
            <w:r>
              <w:rPr>
                <w:rFonts w:hint="default" w:ascii="仿宋" w:hAnsi="仿宋" w:eastAsia="仿宋" w:cs="Times New Roman"/>
                <w:color w:val="000000"/>
                <w:sz w:val="24"/>
                <w:szCs w:val="24"/>
                <w:lang w:val="en-US" w:eastAsia="zh-CN"/>
              </w:rPr>
              <w:t>林业和草原局</w:t>
            </w:r>
          </w:p>
        </w:tc>
        <w:tc>
          <w:tcPr>
            <w:tcW w:w="11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default"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旗县级林草主管部门</w:t>
            </w:r>
          </w:p>
        </w:tc>
        <w:tc>
          <w:tcPr>
            <w:tcW w:w="784"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63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w:t>
            </w:r>
          </w:p>
        </w:tc>
        <w:tc>
          <w:tcPr>
            <w:tcW w:w="58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70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行政许可</w:t>
            </w:r>
          </w:p>
        </w:tc>
        <w:tc>
          <w:tcPr>
            <w:tcW w:w="584"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1765"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通过系统内部核查，实现无证明审批。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2" w:hRule="atLeast"/>
        </w:trPr>
        <w:tc>
          <w:tcPr>
            <w:tcW w:w="466"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default"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30</w:t>
            </w:r>
          </w:p>
        </w:tc>
        <w:tc>
          <w:tcPr>
            <w:tcW w:w="110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人工繁育固定场所使用权证明</w:t>
            </w:r>
          </w:p>
        </w:tc>
        <w:tc>
          <w:tcPr>
            <w:tcW w:w="1067"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人工繁育自治区重点保护陆生野生动物许可证核发</w:t>
            </w:r>
          </w:p>
        </w:tc>
        <w:tc>
          <w:tcPr>
            <w:tcW w:w="46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《国家重点保护野生动物驯养繁殖许可证管理办法》第三条 第三条　具备下列条件的单位和个人，可以申请《驯养繁殖许可证》：（一）有适宜驯养繁殖野生动物的固定场所和必需的设施；（二）具备与驯养繁殖野生动物种类、数量相适应的资金、人员和技术（三）驯养繁殖野生动物的饲料来源有保证。</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部门规章</w:t>
            </w:r>
          </w:p>
        </w:tc>
        <w:tc>
          <w:tcPr>
            <w:tcW w:w="93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兴安盟</w:t>
            </w:r>
            <w:r>
              <w:rPr>
                <w:rFonts w:hint="default" w:ascii="仿宋" w:hAnsi="仿宋" w:eastAsia="仿宋" w:cs="Times New Roman"/>
                <w:color w:val="000000"/>
                <w:sz w:val="24"/>
                <w:szCs w:val="24"/>
                <w:lang w:val="en-US" w:eastAsia="zh-CN"/>
              </w:rPr>
              <w:t>林业和草原局</w:t>
            </w:r>
          </w:p>
        </w:tc>
        <w:tc>
          <w:tcPr>
            <w:tcW w:w="115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default"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社区或场地所有权人</w:t>
            </w:r>
            <w:bookmarkStart w:id="0" w:name="_GoBack"/>
            <w:bookmarkEnd w:id="0"/>
          </w:p>
        </w:tc>
        <w:tc>
          <w:tcPr>
            <w:tcW w:w="784"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63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w:t>
            </w:r>
          </w:p>
        </w:tc>
        <w:tc>
          <w:tcPr>
            <w:tcW w:w="583"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700"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default" w:ascii="仿宋" w:hAnsi="仿宋" w:eastAsia="仿宋" w:cs="Times New Roman"/>
                <w:color w:val="000000"/>
                <w:sz w:val="24"/>
                <w:szCs w:val="24"/>
                <w:lang w:val="en-US" w:eastAsia="zh-CN"/>
              </w:rPr>
              <w:t>行政许可</w:t>
            </w:r>
          </w:p>
        </w:tc>
        <w:tc>
          <w:tcPr>
            <w:tcW w:w="584"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p>
        </w:tc>
        <w:tc>
          <w:tcPr>
            <w:tcW w:w="1765" w:type="dxa"/>
            <w:noWrap w:val="0"/>
            <w:vAlign w:val="center"/>
          </w:tcPr>
          <w:p>
            <w:pPr>
              <w:keepNext w:val="0"/>
              <w:keepLines w:val="0"/>
              <w:pageBreakBefore w:val="0"/>
              <w:kinsoku/>
              <w:wordWrap/>
              <w:overflowPunct/>
              <w:topLinePunct w:val="0"/>
              <w:autoSpaceDE/>
              <w:autoSpaceDN/>
              <w:bidi w:val="0"/>
              <w:adjustRightInd/>
              <w:snapToGrid/>
              <w:spacing w:beforeLines="0" w:afterLines="0" w:line="300" w:lineRule="exact"/>
              <w:jc w:val="left"/>
              <w:rPr>
                <w:rFonts w:hint="eastAsia" w:ascii="仿宋" w:hAnsi="仿宋" w:eastAsia="仿宋" w:cs="Times New Roman"/>
                <w:color w:val="000000"/>
                <w:sz w:val="24"/>
                <w:szCs w:val="24"/>
                <w:lang w:val="en-US" w:eastAsia="zh-CN"/>
              </w:rPr>
            </w:pPr>
            <w:r>
              <w:rPr>
                <w:rFonts w:hint="eastAsia" w:ascii="仿宋" w:hAnsi="仿宋" w:eastAsia="仿宋"/>
                <w:color w:val="000000"/>
                <w:sz w:val="24"/>
                <w:szCs w:val="24"/>
                <w:lang w:val="en-US" w:eastAsia="zh-CN"/>
              </w:rPr>
              <w:t>通过</w:t>
            </w:r>
            <w:r>
              <w:rPr>
                <w:rFonts w:hint="eastAsia" w:ascii="仿宋" w:hAnsi="仿宋" w:eastAsia="仿宋"/>
                <w:color w:val="000000"/>
                <w:sz w:val="24"/>
                <w:szCs w:val="24"/>
              </w:rPr>
              <w:t>告知承诺制，</w:t>
            </w:r>
            <w:r>
              <w:rPr>
                <w:rFonts w:hint="eastAsia" w:ascii="仿宋" w:hAnsi="仿宋" w:eastAsia="仿宋" w:cs="Times New Roman"/>
                <w:color w:val="000000"/>
                <w:sz w:val="24"/>
                <w:szCs w:val="24"/>
                <w:lang w:val="en-US" w:eastAsia="zh-CN"/>
              </w:rPr>
              <w:t>实现无证明审批。</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YzAxNWZmMWYwOWM3Zjc2NTkxZjhiZTZlMzU2YmIifQ=="/>
  </w:docVars>
  <w:rsids>
    <w:rsidRoot w:val="00000000"/>
    <w:rsid w:val="1CEB362F"/>
    <w:rsid w:val="2B5C9DBE"/>
    <w:rsid w:val="3EAB0813"/>
    <w:rsid w:val="3FFF0C29"/>
    <w:rsid w:val="75EB5832"/>
    <w:rsid w:val="7736475C"/>
    <w:rsid w:val="7AF5F20C"/>
    <w:rsid w:val="7FBF2646"/>
    <w:rsid w:val="9F9F9855"/>
    <w:rsid w:val="ADED7B83"/>
    <w:rsid w:val="AFF38333"/>
    <w:rsid w:val="BBFF1D01"/>
    <w:rsid w:val="BCEF6F4A"/>
    <w:rsid w:val="DDFD9954"/>
    <w:rsid w:val="EFFB506C"/>
    <w:rsid w:val="FB79ECEE"/>
    <w:rsid w:val="FDD418D0"/>
    <w:rsid w:val="FFEB25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585</Words>
  <Characters>597</Characters>
  <Lines>0</Lines>
  <Paragraphs>0</Paragraphs>
  <TotalTime>2</TotalTime>
  <ScaleCrop>false</ScaleCrop>
  <LinksUpToDate>false</LinksUpToDate>
  <CharactersWithSpaces>600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86138</cp:lastModifiedBy>
  <cp:lastPrinted>2022-11-04T18:55:00Z</cp:lastPrinted>
  <dcterms:modified xsi:type="dcterms:W3CDTF">2022-11-03T09:16:41Z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FCFCEE635D0C48A7D7FA58632F21FB27</vt:lpwstr>
  </property>
</Properties>
</file>